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59"/>
        <w:rPr>
          <w:rFonts w:hint="eastAsia"/>
          <w:color w:val="000000"/>
          <w:highlight w:val="none"/>
        </w:rPr>
      </w:pPr>
      <w:r>
        <w:rPr>
          <w:rFonts w:hint="eastAsia"/>
          <w:color w:val="000000"/>
          <w:highlight w:val="none"/>
        </w:rPr>
      </w:r>
      <w:r/>
    </w:p>
    <w:p>
      <w:pPr>
        <w:pStyle w:val="970"/>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rFonts w:hint="eastAsia" w:eastAsia="黑体"/>
          <w:b/>
          <w:bCs/>
          <w:color w:val="000000"/>
          <w:sz w:val="84"/>
          <w:highlight w:val="none"/>
        </w:rPr>
      </w:r>
      <w:r/>
    </w:p>
    <w:p>
      <w:pPr>
        <w:pStyle w:val="881"/>
        <w:ind w:firstLine="1506"/>
        <w:rPr>
          <w:b/>
          <w:color w:val="000000"/>
          <w:sz w:val="30"/>
          <w:szCs w:val="30"/>
          <w:highlight w:val="none"/>
          <w:u w:val="single"/>
        </w:rPr>
      </w:pPr>
      <w:r>
        <w:rPr>
          <w:rFonts w:hint="eastAsia"/>
          <w:b/>
          <w:color w:val="000000"/>
          <w:sz w:val="30"/>
          <w:szCs w:val="30"/>
          <w:highlight w:val="none"/>
        </w:rPr>
        <w:t xml:space="preserve">项目名称：</w:t>
      </w:r>
      <w:r>
        <w:rPr>
          <w:rFonts w:hint="eastAsia"/>
          <w:b/>
          <w:color w:val="000000"/>
          <w:sz w:val="32"/>
          <w:szCs w:val="32"/>
          <w:highlight w:val="none"/>
        </w:rPr>
        <w:t xml:space="preserve">南京市第29中学新校区生物及智慧云实验室基础设备采购 </w:t>
      </w:r>
      <w:r>
        <w:rPr>
          <w:b/>
          <w:color w:val="000000"/>
          <w:sz w:val="30"/>
          <w:szCs w:val="30"/>
          <w:highlight w:val="none"/>
          <w:u w:val="single"/>
        </w:rPr>
      </w:r>
      <w:r/>
    </w:p>
    <w:p>
      <w:pPr>
        <w:pStyle w:val="881"/>
        <w:ind w:firstLine="1506"/>
        <w:rPr>
          <w:rFonts w:hint="eastAsia"/>
          <w:b/>
          <w:color w:val="000000"/>
          <w:sz w:val="30"/>
          <w:szCs w:val="30"/>
          <w:highlight w:val="none"/>
        </w:rPr>
      </w:pPr>
      <w:r>
        <w:rPr>
          <w:rFonts w:hint="eastAsia"/>
          <w:b/>
          <w:color w:val="000000"/>
          <w:sz w:val="30"/>
          <w:szCs w:val="30"/>
          <w:highlight w:val="none"/>
        </w:rPr>
        <w:t xml:space="preserve">项目编号：</w:t>
      </w:r>
      <w:r>
        <w:rPr>
          <w:rFonts w:hint="eastAsia"/>
          <w:b/>
          <w:color w:val="000000"/>
          <w:sz w:val="32"/>
          <w:szCs w:val="32"/>
          <w:highlight w:val="none"/>
        </w:rPr>
        <w:t xml:space="preserve">JSZC-320100-JZCG-G2025-0379     </w:t>
      </w:r>
      <w:r>
        <w:rPr>
          <w:rFonts w:hint="eastAsia"/>
          <w:b/>
          <w:color w:val="000000"/>
          <w:sz w:val="30"/>
          <w:szCs w:val="30"/>
          <w:highlight w:val="none"/>
        </w:rPr>
        <w:t xml:space="preserve">          </w:t>
      </w:r>
      <w:r>
        <w:rPr>
          <w:rFonts w:hint="eastAsia"/>
          <w:b/>
          <w:color w:val="000000"/>
          <w:sz w:val="30"/>
          <w:szCs w:val="30"/>
          <w:highlight w:val="none"/>
        </w:rPr>
      </w:r>
      <w:r/>
    </w:p>
    <w:p>
      <w:pPr>
        <w:pStyle w:val="881"/>
        <w:jc w:val="center"/>
        <w:rPr>
          <w:rFonts w:hint="eastAsia"/>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rPr>
          <w:rFonts w:hint="eastAsia"/>
          <w:b/>
          <w:color w:val="000000"/>
          <w:sz w:val="30"/>
          <w:szCs w:val="30"/>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70"/>
        <w:ind w:firstLine="0"/>
        <w:jc w:val="center"/>
        <w:rPr>
          <w:rFonts w:hint="eastAsia"/>
          <w:b/>
          <w:bCs/>
          <w:color w:val="000000"/>
          <w:sz w:val="32"/>
          <w:highlight w:val="none"/>
        </w:rPr>
      </w:pPr>
      <w:r>
        <w:rPr>
          <w:rFonts w:hint="eastAsia"/>
          <w:b/>
          <w:bCs/>
          <w:color w:val="000000"/>
          <w:sz w:val="32"/>
          <w:highlight w:val="none"/>
        </w:rPr>
        <w:t xml:space="preserve">南京市公共资源交易中心</w:t>
      </w:r>
      <w:r>
        <w:rPr>
          <w:rFonts w:hint="eastAsia"/>
          <w:b/>
          <w:bCs/>
          <w:color w:val="000000"/>
          <w:sz w:val="32"/>
          <w:highlight w:val="none"/>
        </w:rPr>
      </w:r>
      <w:r/>
    </w:p>
    <w:p>
      <w:pPr>
        <w:pStyle w:val="881"/>
        <w:jc w:val="center"/>
        <w:rPr>
          <w:rFonts w:hint="eastAsia"/>
          <w:b/>
          <w:color w:val="000000"/>
          <w:sz w:val="32"/>
          <w:szCs w:val="32"/>
          <w:highlight w:val="none"/>
        </w:rPr>
      </w:pPr>
      <w:r>
        <w:rPr>
          <w:rFonts w:hint="eastAsia"/>
          <w:b/>
          <w:color w:val="000000"/>
          <w:sz w:val="32"/>
          <w:szCs w:val="32"/>
          <w:highlight w:val="none"/>
        </w:rPr>
        <w:t xml:space="preserve">2025年11月</w:t>
      </w:r>
      <w:r>
        <w:rPr>
          <w:rFonts w:hint="eastAsia"/>
          <w:b/>
          <w:color w:val="000000"/>
          <w:sz w:val="32"/>
          <w:szCs w:val="32"/>
          <w:highlight w:val="none"/>
        </w:rPr>
      </w:r>
      <w:r/>
    </w:p>
    <w:p>
      <w:pPr>
        <w:pStyle w:val="88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8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81"/>
        <w:jc w:val="center"/>
        <w:spacing w:line="480" w:lineRule="auto"/>
        <w:rPr>
          <w:rFonts w:hint="eastAsia" w:ascii="黑体" w:hAnsi="Arial" w:eastAsia="黑体"/>
          <w:b/>
          <w:color w:val="000000"/>
          <w:sz w:val="44"/>
          <w:szCs w:val="21"/>
          <w:highlight w:val="none"/>
        </w:rPr>
        <w:outlineLvl w:val="0"/>
      </w:pPr>
      <w:r>
        <w:rPr>
          <w:color w:val="000000"/>
          <w:szCs w:val="21"/>
          <w:highlight w:val="none"/>
        </w:rPr>
        <w:br w:type="page" w:clear="all"/>
      </w:r>
      <w:bookmarkStart w:id="0" w:name="_Toc120614210"/>
      <w:r/>
      <w:bookmarkStart w:id="1" w:name="_Toc523127445"/>
      <w:r/>
      <w:bookmarkStart w:id="2" w:name="_Toc513029200"/>
      <w:r/>
      <w:bookmarkStart w:id="3" w:name="_Toc16938516"/>
      <w:r/>
      <w:bookmarkStart w:id="4" w:name="_Toc479757206"/>
      <w:r/>
      <w:bookmarkStart w:id="5" w:name="_Toc20823272"/>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88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8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投标邀请…………………………………… 3</w:t>
      </w:r>
      <w:r>
        <w:rPr>
          <w:rFonts w:hint="eastAsia" w:ascii="黑体" w:hAnsi="宋体" w:eastAsia="黑体"/>
          <w:color w:val="000000"/>
          <w:sz w:val="36"/>
          <w:szCs w:val="21"/>
          <w:highlight w:val="none"/>
        </w:rPr>
      </w:r>
      <w:r/>
    </w:p>
    <w:p>
      <w:pPr>
        <w:pStyle w:val="88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投标人须知………………………………… 5</w:t>
      </w:r>
      <w:r>
        <w:rPr>
          <w:rFonts w:hint="eastAsia" w:ascii="黑体" w:hAnsi="宋体" w:eastAsia="黑体"/>
          <w:color w:val="000000"/>
          <w:sz w:val="36"/>
          <w:szCs w:val="21"/>
          <w:highlight w:val="none"/>
        </w:rPr>
      </w:r>
      <w:r/>
    </w:p>
    <w:p>
      <w:pPr>
        <w:pStyle w:val="88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合同文本……………………………………14</w:t>
      </w:r>
      <w:r>
        <w:rPr>
          <w:rFonts w:hint="eastAsia" w:ascii="黑体" w:hAnsi="宋体" w:eastAsia="黑体"/>
          <w:color w:val="000000"/>
          <w:sz w:val="36"/>
          <w:szCs w:val="21"/>
          <w:highlight w:val="none"/>
        </w:rPr>
      </w:r>
      <w:r/>
    </w:p>
    <w:p>
      <w:pPr>
        <w:pStyle w:val="88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采购需求……………………………………18</w:t>
      </w:r>
      <w:r>
        <w:rPr>
          <w:rFonts w:hint="eastAsia" w:ascii="黑体" w:hAnsi="宋体" w:eastAsia="黑体"/>
          <w:color w:val="000000"/>
          <w:sz w:val="36"/>
          <w:szCs w:val="21"/>
          <w:highlight w:val="none"/>
        </w:rPr>
      </w:r>
      <w:r/>
    </w:p>
    <w:p>
      <w:pPr>
        <w:pStyle w:val="88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评标方法与评标标准………………………62</w:t>
      </w:r>
      <w:r>
        <w:rPr>
          <w:rFonts w:hint="eastAsia" w:ascii="黑体" w:hAnsi="宋体" w:eastAsia="黑体"/>
          <w:color w:val="000000"/>
          <w:sz w:val="36"/>
          <w:szCs w:val="21"/>
          <w:highlight w:val="none"/>
        </w:rPr>
      </w:r>
      <w:r/>
    </w:p>
    <w:p>
      <w:pPr>
        <w:pStyle w:val="881"/>
        <w:numPr>
          <w:ilvl w:val="0"/>
          <w:numId w:val="4"/>
        </w:numPr>
        <w:jc w:val="center"/>
        <w:spacing w:line="960" w:lineRule="auto"/>
        <w:tabs>
          <w:tab w:val="left" w:pos="1440" w:leader="none"/>
        </w:tabs>
        <w:rPr>
          <w:rFonts w:hint="eastAsia" w:ascii="黑体" w:hAnsi="宋体" w:eastAsia="黑体"/>
          <w:color w:val="000000"/>
          <w:sz w:val="36"/>
          <w:szCs w:val="21"/>
          <w:highlight w:val="none"/>
        </w:rPr>
        <w:outlineLvl w:val="1"/>
      </w:pPr>
      <w:r>
        <w:rPr>
          <w:rFonts w:hint="eastAsia" w:ascii="黑体" w:hAnsi="宋体" w:eastAsia="黑体"/>
          <w:color w:val="000000"/>
          <w:sz w:val="36"/>
          <w:szCs w:val="21"/>
          <w:highlight w:val="none"/>
        </w:rPr>
        <w:t xml:space="preserve">投标文件格式………………………………67</w:t>
      </w:r>
      <w:r>
        <w:rPr>
          <w:rFonts w:hint="eastAsia" w:ascii="黑体" w:hAnsi="宋体" w:eastAsia="黑体"/>
          <w:color w:val="000000"/>
          <w:sz w:val="36"/>
          <w:szCs w:val="21"/>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pPr>
      <w:r/>
      <w:bookmarkEnd w:id="0"/>
      <w:r>
        <w:rPr>
          <w:rFonts w:hint="eastAsia" w:ascii="方正小标宋简体" w:hAnsi="方正小标宋简体" w:eastAsia="方正小标宋简体" w:cs="方正小标宋简体"/>
          <w:color w:val="000000"/>
          <w:sz w:val="36"/>
          <w:szCs w:val="36"/>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spacing w:line="252" w:lineRule="auto"/>
        <w:rPr>
          <w:rFonts w:ascii="宋体" w:hAnsi="宋体"/>
          <w:color w:val="000000"/>
          <w:sz w:val="24"/>
          <w:szCs w:val="24"/>
          <w:highlight w:val="none"/>
        </w:rPr>
      </w:pPr>
      <w:r/>
      <w:bookmarkStart w:id="6" w:name="_Toc28359079"/>
      <w:r/>
      <w:bookmarkStart w:id="7" w:name="_Toc28359002"/>
      <w:r/>
      <w:bookmarkStart w:id="8" w:name="_Toc35393621"/>
      <w:r/>
      <w:bookmarkStart w:id="9" w:name="_Toc35393790"/>
      <w:r/>
      <w:bookmarkStart w:id="10" w:name="_Toc38985263"/>
      <w:r/>
      <w:bookmarkStart w:id="11" w:name="_Hlk24379207"/>
      <w:r>
        <w:rPr>
          <w:rFonts w:hint="eastAsia" w:ascii="宋体" w:hAnsi="宋体"/>
          <w:color w:val="000000"/>
          <w:sz w:val="24"/>
          <w:szCs w:val="24"/>
          <w:highlight w:val="none"/>
        </w:rPr>
        <w:t xml:space="preserve">受南京市鼓楼区教育局委托，南京市公共资源交易中心（以下简称“交易中心”）就南京市第29中学新校区生物及智慧云实验室基础设备进行公开招标采购，欢迎符合条件的供应商投标。</w:t>
      </w:r>
      <w:r>
        <w:rPr>
          <w:rFonts w:ascii="宋体" w:hAnsi="宋体"/>
          <w:color w:val="000000"/>
          <w:sz w:val="24"/>
          <w:szCs w:val="24"/>
          <w:highlight w:val="none"/>
        </w:rPr>
      </w:r>
      <w:r/>
    </w:p>
    <w:p>
      <w:pPr>
        <w:pStyle w:val="88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81"/>
        <w:ind w:firstLine="480"/>
        <w:spacing w:line="252" w:lineRule="auto"/>
        <w:rPr>
          <w:rFonts w:ascii="宋体" w:hAnsi="宋体"/>
          <w:color w:val="000000"/>
          <w:sz w:val="24"/>
          <w:szCs w:val="24"/>
          <w:highlight w:val="none"/>
        </w:rPr>
      </w:pPr>
      <w:r/>
      <w:bookmarkEnd w:id="11"/>
      <w:r/>
      <w:bookmarkStart w:id="12" w:name="_Toc38985264"/>
      <w:r/>
      <w:bookmarkStart w:id="13" w:name="_Toc35393791"/>
      <w:r/>
      <w:bookmarkStart w:id="14" w:name="_Toc28359080"/>
      <w:r/>
      <w:bookmarkStart w:id="15" w:name="_Toc35393622"/>
      <w:r/>
      <w:bookmarkStart w:id="16" w:name="_Toc28359003"/>
      <w:r>
        <w:rPr>
          <w:rFonts w:hint="eastAsia" w:ascii="宋体" w:hAnsi="宋体"/>
          <w:color w:val="000000"/>
          <w:sz w:val="24"/>
          <w:szCs w:val="24"/>
          <w:highlight w:val="none"/>
        </w:rPr>
        <w:t xml:space="preserve">1.项目编号：JSZC-320100-JZCG-G2025-0379</w:t>
      </w:r>
      <w:r>
        <w:rPr>
          <w:rFonts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2.项目名称：南京市第29中学新校区生物及智慧云实验室基础设备</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3.预算金额：518万元</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4.最高限价：本项目不设最高限价。</w:t>
      </w:r>
      <w:r>
        <w:rPr>
          <w:rFonts w:hint="eastAsia" w:ascii="宋体" w:hAnsi="宋体"/>
          <w:color w:val="000000"/>
          <w:sz w:val="24"/>
          <w:szCs w:val="24"/>
          <w:highlight w:val="none"/>
        </w:rPr>
      </w:r>
      <w:r/>
    </w:p>
    <w:p>
      <w:pPr>
        <w:pStyle w:val="881"/>
        <w:ind w:firstLine="480"/>
        <w:spacing w:line="252"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5.采购需求（简介）：根据学校教学需求，配置相关实验室设备，满足学校的教育教学需要。（详细内容见本招标文件第四章）</w:t>
      </w:r>
      <w:r>
        <w:rPr>
          <w:rFonts w:hint="eastAsia" w:ascii="宋体" w:hAnsi="宋体" w:cs="宋体"/>
          <w:color w:val="000000"/>
          <w:sz w:val="24"/>
          <w:szCs w:val="24"/>
          <w:highlight w:val="none"/>
        </w:rPr>
        <w:t xml:space="preserve"> </w:t>
      </w:r>
      <w:r>
        <w:rPr>
          <w:rFonts w:ascii="宋体" w:hAnsi="宋体"/>
          <w:color w:val="000000"/>
          <w:sz w:val="24"/>
          <w:szCs w:val="24"/>
          <w:highlight w:val="none"/>
          <w:u w:val="singl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6.合同履行期限：90天</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7.本项目不接受进口产品投标。</w:t>
      </w:r>
      <w:r>
        <w:rPr>
          <w:rFonts w:hint="eastAsia" w:ascii="宋体" w:hAnsi="宋体"/>
          <w:color w:val="000000"/>
          <w:sz w:val="24"/>
          <w:szCs w:val="24"/>
          <w:highlight w:val="none"/>
        </w:rPr>
      </w:r>
      <w:r/>
    </w:p>
    <w:p>
      <w:pPr>
        <w:pStyle w:val="88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8.本项目不接受联合体投标。</w:t>
      </w:r>
      <w:r>
        <w:rPr>
          <w:rFonts w:hint="eastAsia" w:ascii="宋体" w:hAnsi="宋体" w:cs="宋体"/>
          <w:color w:val="000000"/>
          <w:sz w:val="24"/>
          <w:szCs w:val="24"/>
          <w:highlight w:val="none"/>
        </w:rPr>
      </w:r>
      <w:r/>
    </w:p>
    <w:p>
      <w:pPr>
        <w:pStyle w:val="88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81"/>
        <w:ind w:firstLine="480"/>
        <w:spacing w:line="252" w:lineRule="auto"/>
        <w:rPr>
          <w:rFonts w:hint="eastAsia" w:ascii="宋体" w:hAnsi="宋体" w:cs="宋体"/>
          <w:color w:val="000000"/>
          <w:sz w:val="24"/>
          <w:szCs w:val="24"/>
          <w:highlight w:val="none"/>
        </w:rPr>
      </w:pPr>
      <w:r/>
      <w:bookmarkStart w:id="17" w:name="_Toc35393623"/>
      <w:r/>
      <w:bookmarkStart w:id="18" w:name="_Toc28359081"/>
      <w:r/>
      <w:bookmarkStart w:id="19" w:name="_Toc28359004"/>
      <w:r/>
      <w:bookmarkStart w:id="20" w:name="_Toc38985265"/>
      <w:r/>
      <w:bookmarkStart w:id="21" w:name="_Toc35393792"/>
      <w:r>
        <w:rPr>
          <w:rFonts w:hint="eastAsia" w:ascii="宋体" w:hAnsi="宋体" w:cs="宋体"/>
          <w:color w:val="000000"/>
          <w:sz w:val="24"/>
          <w:szCs w:val="24"/>
          <w:highlight w:val="none"/>
        </w:rPr>
        <w:t xml:space="preserve">（一）通用资格要求</w:t>
      </w:r>
      <w:r>
        <w:rPr>
          <w:rFonts w:hint="eastAsia" w:ascii="宋体" w:hAnsi="宋体" w:cs="宋体"/>
          <w:color w:val="000000"/>
          <w:sz w:val="24"/>
          <w:szCs w:val="24"/>
          <w:highlight w:val="none"/>
        </w:rPr>
      </w:r>
      <w:r/>
    </w:p>
    <w:p>
      <w:pPr>
        <w:pStyle w:val="881"/>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供应商信用承诺函（格式见第六章）。</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2.落实政府采购政策需满足的资格要求：无</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lang w:val="zh-CN"/>
        </w:rPr>
        <w:t xml:space="preserve">本项目采购标的对应的中小企业划分标准所属行业为：</w:t>
      </w:r>
      <w:r>
        <w:rPr>
          <w:rFonts w:hint="eastAsia" w:ascii="宋体" w:hAnsi="宋体"/>
          <w:color w:val="000000"/>
          <w:sz w:val="24"/>
          <w:szCs w:val="24"/>
          <w:highlight w:val="none"/>
        </w:rPr>
        <w:t xml:space="preserve">工业</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（二）本项目特定资格要求：</w:t>
      </w:r>
      <w:r>
        <w:rPr>
          <w:rFonts w:hint="eastAsia" w:ascii="宋体" w:hAnsi="宋体"/>
          <w:color w:val="000000"/>
          <w:sz w:val="24"/>
          <w:szCs w:val="24"/>
          <w:highlight w:val="none"/>
        </w:rPr>
        <w:t xml:space="preserve">无</w:t>
      </w:r>
      <w:r>
        <w:rPr>
          <w:rFonts w:hint="eastAsia" w:ascii="宋体" w:hAnsi="宋体"/>
          <w:color w:val="000000"/>
          <w:sz w:val="24"/>
          <w:szCs w:val="24"/>
          <w:highlight w:val="none"/>
        </w:rPr>
      </w:r>
      <w:r/>
    </w:p>
    <w:p>
      <w:pPr>
        <w:pStyle w:val="88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（三）拒绝下述供应商参加本次采购活动</w:t>
      </w:r>
      <w:r>
        <w:rPr>
          <w:rFonts w:hint="eastAsia" w:ascii="宋体" w:hAnsi="宋体" w:cs="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1.单位负责人为同一人或者存在直接控股、管理关系的不同供应商，不得参加同一合同项下的政府采购活动。</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2.为采购项目提供整体设计、规范编制或者项目管理、监理、检测等服务的供应商，不得参加本项目的采购活动。</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olor w:val="000000"/>
          <w:sz w:val="24"/>
          <w:szCs w:val="24"/>
          <w:highlight w:val="none"/>
        </w:rPr>
      </w:r>
      <w:r/>
    </w:p>
    <w:p>
      <w:pPr>
        <w:pStyle w:val="88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81"/>
        <w:ind w:firstLine="480"/>
        <w:spacing w:line="252" w:lineRule="auto"/>
        <w:rPr>
          <w:rFonts w:ascii="宋体" w:hAnsi="宋体" w:cs="宋体"/>
          <w:color w:val="000000"/>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81"/>
        <w:ind w:firstLine="480"/>
        <w:spacing w:line="252"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8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81"/>
        <w:ind w:firstLine="480"/>
        <w:spacing w:line="252" w:lineRule="auto"/>
        <w:rPr>
          <w:rFonts w:hint="eastAsia" w:ascii="宋体" w:hAnsi="宋体"/>
          <w:bCs/>
          <w:color w:val="000000"/>
          <w:sz w:val="24"/>
          <w:szCs w:val="24"/>
          <w:highlight w:val="none"/>
          <w:u w:val="single"/>
        </w:rPr>
      </w:pPr>
      <w:r/>
      <w:bookmarkStart w:id="27" w:name="_Toc28359084"/>
      <w:r/>
      <w:bookmarkStart w:id="28" w:name="_Toc35393625"/>
      <w:r/>
      <w:bookmarkStart w:id="29" w:name="_Toc38985267"/>
      <w:r/>
      <w:bookmarkStart w:id="30" w:name="_Toc28359007"/>
      <w:r/>
      <w:bookmarkStart w:id="31" w:name="_Toc35393794"/>
      <w:r>
        <w:rPr>
          <w:rFonts w:hint="eastAsia" w:ascii="宋体" w:hAnsi="宋体" w:cs="宋体"/>
          <w:color w:val="000000"/>
          <w:sz w:val="24"/>
          <w:szCs w:val="24"/>
          <w:highlight w:val="none"/>
        </w:rPr>
        <w:t xml:space="preserve">1.提交投标文件截止时间、开标时间：</w:t>
      </w:r>
      <w:r>
        <w:rPr>
          <w:rFonts w:hint="eastAsia" w:ascii="宋体" w:hAnsi="宋体" w:cs="宋体"/>
          <w:bCs/>
          <w:color w:val="000000"/>
          <w:sz w:val="24"/>
          <w:szCs w:val="24"/>
          <w:highlight w:val="none"/>
        </w:rPr>
        <w:t xml:space="preserve">20</w:t>
      </w:r>
      <w:r>
        <w:rPr>
          <w:rFonts w:hint="eastAsia" w:ascii="宋体" w:hAnsi="宋体" w:cs="宋体"/>
          <w:color w:val="000000"/>
          <w:sz w:val="24"/>
          <w:szCs w:val="24"/>
          <w:highlight w:val="none"/>
        </w:rPr>
        <w:t xml:space="preserve">25</w:t>
      </w:r>
      <w:r>
        <w:rPr>
          <w:rFonts w:hint="eastAsia" w:ascii="宋体" w:hAnsi="宋体"/>
          <w:bCs/>
          <w:color w:val="000000"/>
          <w:sz w:val="24"/>
          <w:szCs w:val="24"/>
          <w:highlight w:val="none"/>
        </w:rPr>
        <w:t xml:space="preserve">年</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rPr>
        <w:t xml:space="preserve">15日</w:t>
      </w:r>
      <w:r>
        <w:rPr>
          <w:rFonts w:hint="eastAsia"/>
          <w:bCs/>
          <w:color w:val="000000"/>
          <w:sz w:val="24"/>
          <w:szCs w:val="24"/>
          <w:highlight w:val="none"/>
        </w:rPr>
        <w:t xml:space="preserve">14时</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u w:val="single"/>
        </w:rPr>
      </w:r>
      <w:r/>
    </w:p>
    <w:p>
      <w:pPr>
        <w:pStyle w:val="881"/>
        <w:ind w:firstLine="480"/>
        <w:spacing w:line="252" w:lineRule="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s="宋体"/>
          <w:color w:val="000000"/>
          <w:sz w:val="24"/>
          <w:szCs w:val="24"/>
          <w:highlight w:val="none"/>
        </w:rPr>
        <w:t xml:space="preserve">江苏省政府采购交易系统（以下简称“苏采云系统”）网上开标大厅。</w:t>
      </w:r>
      <w:r>
        <w:rPr>
          <w:rFonts w:hint="eastAsia" w:ascii="宋体" w:hAnsi="宋体"/>
          <w:bCs/>
          <w:color w:val="000000"/>
          <w:sz w:val="24"/>
          <w:szCs w:val="24"/>
          <w:highlight w:val="none"/>
          <w:u w:val="single"/>
        </w:rPr>
      </w:r>
      <w:r/>
    </w:p>
    <w:p>
      <w:pPr>
        <w:pStyle w:val="88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81"/>
        <w:ind w:firstLine="480"/>
        <w:spacing w:line="252" w:lineRule="auto"/>
        <w:rPr>
          <w:rFonts w:ascii="宋体" w:hAnsi="宋体" w:cs="宋体"/>
          <w:color w:val="000000"/>
          <w:sz w:val="24"/>
          <w:szCs w:val="24"/>
          <w:highlight w:val="none"/>
        </w:rPr>
      </w:pPr>
      <w:r/>
      <w:bookmarkStart w:id="32" w:name="_Toc35393795"/>
      <w:r/>
      <w:bookmarkStart w:id="33" w:name="_Toc35393626"/>
      <w:r/>
      <w:bookmarkStart w:id="34" w:name="_Toc38985268"/>
      <w:r>
        <w:rPr>
          <w:rFonts w:hint="eastAsia" w:ascii="宋体" w:hAnsi="宋体" w:cs="宋体"/>
          <w:color w:val="000000"/>
          <w:sz w:val="24"/>
          <w:szCs w:val="24"/>
          <w:highlight w:val="none"/>
        </w:rPr>
        <w:t xml:space="preserve">公告期限为自本公告发布之日起5个工作日。</w:t>
      </w:r>
      <w:r>
        <w:rPr>
          <w:rFonts w:ascii="宋体" w:hAnsi="宋体" w:cs="宋体"/>
          <w:color w:val="000000"/>
          <w:sz w:val="24"/>
          <w:szCs w:val="24"/>
          <w:highlight w:val="none"/>
        </w:rPr>
      </w:r>
      <w:r/>
    </w:p>
    <w:p>
      <w:pPr>
        <w:pStyle w:val="884"/>
        <w:ind w:firstLine="498"/>
        <w:spacing w:before="145" w:after="145" w:line="252" w:lineRule="auto"/>
        <w:rPr>
          <w:rFonts w:hint="eastAsia"/>
          <w:color w:val="000000"/>
          <w:highlight w:val="none"/>
        </w:rPr>
      </w:pPr>
      <w:r>
        <w:rPr>
          <w:rFonts w:hint="eastAsia"/>
          <w:color w:val="000000"/>
          <w:highlight w:val="none"/>
        </w:rPr>
        <w:t xml:space="preserve">六、其他事宜</w:t>
      </w:r>
      <w:bookmarkEnd w:id="32"/>
      <w:r/>
      <w:bookmarkEnd w:id="33"/>
      <w:r/>
      <w:bookmarkEnd w:id="34"/>
      <w:r>
        <w:rPr>
          <w:rFonts w:hint="eastAsia"/>
          <w:color w:val="000000"/>
          <w:highlight w:val="none"/>
        </w:rPr>
      </w:r>
      <w:r/>
    </w:p>
    <w:p>
      <w:pPr>
        <w:pStyle w:val="881"/>
        <w:ind w:firstLine="480"/>
        <w:spacing w:line="252" w:lineRule="auto"/>
        <w:tabs>
          <w:tab w:val="left" w:pos="900" w:leader="none"/>
        </w:tabs>
        <w:rPr>
          <w:rFonts w:hint="eastAsia" w:ascii="宋体" w:hAnsi="宋体"/>
          <w:bCs/>
          <w:color w:val="000000"/>
          <w:sz w:val="24"/>
          <w:szCs w:val="24"/>
          <w:highlight w:val="none"/>
        </w:rPr>
      </w:pPr>
      <w:r/>
      <w:bookmarkStart w:id="35" w:name="_Toc28359008"/>
      <w:r/>
      <w:bookmarkStart w:id="36" w:name="_Toc35393627"/>
      <w:r/>
      <w:bookmarkStart w:id="37" w:name="_Toc35393796"/>
      <w:r/>
      <w:bookmarkStart w:id="38" w:name="_Toc28359085"/>
      <w:r/>
      <w:bookmarkStart w:id="39" w:name="_Toc38985269"/>
      <w:r>
        <w:rPr>
          <w:rFonts w:hint="eastAsia" w:ascii="宋体" w:hAnsi="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81"/>
        <w:ind w:firstLine="480"/>
        <w:spacing w:line="252"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本项目不组织</w:t>
      </w:r>
      <w:r>
        <w:rPr>
          <w:rFonts w:hint="eastAsia" w:ascii="宋体" w:hAnsi="宋体"/>
          <w:color w:val="000000"/>
          <w:sz w:val="24"/>
          <w:szCs w:val="24"/>
          <w:highlight w:val="none"/>
        </w:rPr>
        <w:t xml:space="preserve">勘察及答疑</w:t>
      </w:r>
      <w:r>
        <w:rPr>
          <w:rFonts w:hint="eastAsia" w:ascii="宋体" w:hAnsi="宋体" w:cs="宋体"/>
          <w:color w:val="000000"/>
          <w:sz w:val="24"/>
          <w:szCs w:val="24"/>
          <w:highlight w:val="none"/>
        </w:rPr>
        <w:t xml:space="preserve">，供应商如对采购需求有疑问，请咨询采购单位联系人。 </w:t>
      </w:r>
      <w:r>
        <w:rPr>
          <w:rFonts w:hint="eastAsia" w:ascii="宋体" w:hAnsi="宋体" w:cs="宋体"/>
          <w:color w:val="000000"/>
          <w:sz w:val="24"/>
          <w:szCs w:val="24"/>
          <w:highlight w:val="none"/>
        </w:rPr>
      </w:r>
      <w:r/>
    </w:p>
    <w:p>
      <w:pPr>
        <w:pStyle w:val="88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"http://www.ccgp-jiangsu.gov.cn/jiangsu/zlxz/ee/ee3a4bc5a3454aa2b0d9312230633ce9.html" </w:instrText>
      </w:r>
      <w:r>
        <w:rPr>
          <w:rFonts w:hint="eastAsia" w:ascii="宋体" w:hAnsi="宋体" w:cs="宋体"/>
          <w:color w:val="000000"/>
          <w:sz w:val="24"/>
          <w:szCs w:val="24"/>
          <w:highlight w:val="none"/>
        </w:rPr>
        <w:fldChar w:fldCharType="separate"/>
      </w:r>
      <w:r>
        <w:rPr>
          <w:rStyle w:val="955"/>
          <w:rFonts w:hint="eastAsia" w:ascii="宋体" w:hAnsi="宋体" w:cs="宋体"/>
          <w:color w:val="000000"/>
          <w:sz w:val="24"/>
          <w:szCs w:val="24"/>
          <w:highlight w:val="none"/>
        </w:rPr>
        <w:t xml:space="preserve">下载地址</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（CTRL+鼠标左键）。</w:t>
      </w:r>
      <w:r>
        <w:rPr>
          <w:rFonts w:hint="eastAsia" w:ascii="宋体" w:hAnsi="宋体" w:cs="宋体"/>
          <w:color w:val="000000"/>
          <w:sz w:val="24"/>
          <w:szCs w:val="24"/>
          <w:highlight w:val="none"/>
        </w:rPr>
      </w:r>
      <w:r/>
    </w:p>
    <w:p>
      <w:pPr>
        <w:pStyle w:val="881"/>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4.有关本次招标的事项若存在变动或修改，请及时关注“江苏政府采购网”（www.ccgp-jiangsu.gov.cn）更正公告。</w:t>
      </w:r>
      <w:r>
        <w:rPr>
          <w:rFonts w:hint="eastAsia" w:ascii="宋体" w:hAnsi="宋体" w:cs="宋体"/>
          <w:color w:val="000000"/>
          <w:sz w:val="24"/>
          <w:szCs w:val="24"/>
          <w:highlight w:val="none"/>
        </w:rPr>
      </w:r>
      <w:r/>
    </w:p>
    <w:p>
      <w:pPr>
        <w:pStyle w:val="881"/>
        <w:ind w:firstLine="482"/>
        <w:spacing w:line="25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5.供应商（含潜在供应商）对采购方式、采购需求、供应商资格条件、评标方法和评标标准、合同文本的询问或质疑向采购人提出，《质疑函》原件</w:t>
      </w:r>
      <w:r>
        <w:rPr>
          <w:rFonts w:hint="eastAsia" w:ascii="宋体" w:hAnsi="宋体" w:cs="宋体"/>
          <w:b/>
          <w:bCs/>
          <w:color w:val="000000"/>
          <w:sz w:val="24"/>
          <w:szCs w:val="24"/>
          <w:highlight w:val="none"/>
          <w:lang w:val="zh-CN"/>
        </w:rPr>
        <w:t xml:space="preserve">通过邮寄方式送达</w:t>
      </w:r>
      <w:r>
        <w:rPr>
          <w:rFonts w:hint="eastAsia" w:ascii="宋体" w:hAnsi="宋体" w:cs="宋体"/>
          <w:b/>
          <w:bCs/>
          <w:color w:val="000000"/>
          <w:sz w:val="24"/>
          <w:szCs w:val="24"/>
          <w:highlight w:val="none"/>
        </w:rPr>
        <w:t xml:space="preserve">采购人，由采购人负责答复。</w:t>
      </w:r>
      <w:r>
        <w:rPr>
          <w:rFonts w:hint="eastAsia" w:ascii="宋体" w:hAnsi="宋体" w:cs="宋体"/>
          <w:b/>
          <w:bCs/>
          <w:color w:val="000000"/>
          <w:sz w:val="24"/>
          <w:szCs w:val="24"/>
          <w:highlight w:val="none"/>
        </w:rPr>
      </w:r>
      <w:r/>
    </w:p>
    <w:p>
      <w:pPr>
        <w:pStyle w:val="881"/>
        <w:ind w:firstLine="482"/>
        <w:spacing w:line="252"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对采购过程、采购结果的询问或质疑向交易中心提出，《质疑函》原件</w:t>
      </w:r>
      <w:r>
        <w:rPr>
          <w:rFonts w:hint="eastAsia" w:ascii="宋体" w:hAnsi="宋体" w:cs="宋体"/>
          <w:b/>
          <w:bCs/>
          <w:color w:val="000000"/>
          <w:sz w:val="24"/>
          <w:szCs w:val="24"/>
          <w:highlight w:val="none"/>
          <w:lang w:val="zh-CN"/>
        </w:rPr>
        <w:t xml:space="preserve">通过邮寄方式送达</w:t>
      </w:r>
      <w:r>
        <w:rPr>
          <w:rFonts w:hint="eastAsia" w:ascii="宋体" w:hAnsi="宋体" w:cs="宋体"/>
          <w:b/>
          <w:bCs/>
          <w:color w:val="000000"/>
          <w:sz w:val="24"/>
          <w:szCs w:val="24"/>
          <w:highlight w:val="none"/>
        </w:rPr>
        <w:t xml:space="preserve">交易中心，由交易中心负责答复。</w:t>
      </w:r>
      <w:r>
        <w:rPr>
          <w:rFonts w:hint="eastAsia" w:ascii="宋体" w:hAnsi="宋体" w:cs="宋体"/>
          <w:color w:val="000000"/>
          <w:sz w:val="24"/>
          <w:szCs w:val="24"/>
          <w:highlight w:val="none"/>
        </w:rPr>
      </w:r>
      <w:r/>
    </w:p>
    <w:p>
      <w:pPr>
        <w:pStyle w:val="88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1.采购人</w:t>
      </w:r>
      <w:r>
        <w:rPr>
          <w:rFonts w:hint="eastAsia" w:ascii="宋体" w:hAnsi="宋体"/>
          <w:color w:val="000000"/>
          <w:sz w:val="24"/>
          <w:szCs w:val="24"/>
          <w:highlight w:val="none"/>
        </w:rPr>
      </w:r>
      <w:r/>
    </w:p>
    <w:p>
      <w:pPr>
        <w:pStyle w:val="88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  称：南京市鼓楼区教育局      </w:t>
      </w:r>
      <w:r>
        <w:rPr>
          <w:rFonts w:hint="eastAsia" w:ascii="宋体" w:hAnsi="宋体"/>
          <w:color w:val="000000"/>
          <w:sz w:val="24"/>
          <w:szCs w:val="24"/>
          <w:highlight w:val="none"/>
        </w:rPr>
      </w:r>
      <w:r/>
    </w:p>
    <w:p>
      <w:pPr>
        <w:pStyle w:val="88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址：南京市鼓楼区下关大厦12楼</w:t>
      </w:r>
      <w:r>
        <w:rPr>
          <w:rFonts w:hint="eastAsia" w:ascii="宋体" w:hAnsi="宋体"/>
          <w:color w:val="000000"/>
          <w:sz w:val="24"/>
          <w:szCs w:val="24"/>
          <w:highlight w:val="none"/>
        </w:rPr>
      </w:r>
      <w:r/>
    </w:p>
    <w:p>
      <w:pPr>
        <w:pStyle w:val="88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联系人：万老师 </w:t>
      </w:r>
      <w:r>
        <w:rPr>
          <w:rFonts w:hint="eastAsia" w:ascii="宋体" w:hAnsi="宋体"/>
          <w:color w:val="000000"/>
          <w:sz w:val="24"/>
          <w:szCs w:val="24"/>
          <w:highlight w:val="none"/>
        </w:rPr>
      </w:r>
      <w:r/>
    </w:p>
    <w:p>
      <w:pPr>
        <w:pStyle w:val="881"/>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联系电话：025-83230037 </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bookmarkStart w:id="40" w:name="_Toc28359009"/>
      <w:r/>
      <w:bookmarkStart w:id="41" w:name="_Toc28359086"/>
      <w:r>
        <w:rPr>
          <w:rFonts w:hint="eastAsia" w:ascii="宋体" w:hAnsi="宋体"/>
          <w:color w:val="000000"/>
          <w:sz w:val="24"/>
          <w:szCs w:val="24"/>
          <w:highlight w:val="none"/>
        </w:rPr>
        <w:t xml:space="preserve">2.交易中心</w:t>
      </w:r>
      <w:bookmarkEnd w:id="40"/>
      <w:r/>
      <w:bookmarkEnd w:id="41"/>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址：南京市建邺区江东中路265号  </w:t>
      </w:r>
      <w:r>
        <w:rPr>
          <w:rFonts w:hint="eastAsia" w:ascii="宋体" w:hAnsi="宋体"/>
          <w:color w:val="000000"/>
          <w:sz w:val="24"/>
          <w:szCs w:val="24"/>
          <w:highlight w:val="none"/>
        </w:rPr>
      </w:r>
      <w:r/>
    </w:p>
    <w:p>
      <w:pPr>
        <w:pStyle w:val="88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联系人：段女士</w:t>
      </w:r>
      <w:r>
        <w:rPr>
          <w:rFonts w:hint="eastAsia" w:ascii="宋体" w:hAnsi="宋体"/>
          <w:color w:val="000000"/>
          <w:sz w:val="24"/>
          <w:szCs w:val="24"/>
          <w:highlight w:val="none"/>
        </w:rPr>
      </w:r>
      <w:r/>
    </w:p>
    <w:p>
      <w:pPr>
        <w:pStyle w:val="881"/>
        <w:ind w:firstLine="480"/>
        <w:spacing w:line="252" w:lineRule="auto"/>
        <w:rPr>
          <w:rFonts w:hint="eastAsia"/>
          <w:color w:val="000000"/>
          <w:highlight w:val="none"/>
        </w:rPr>
      </w:pPr>
      <w:r>
        <w:rPr>
          <w:rFonts w:hint="eastAsia" w:ascii="宋体" w:hAnsi="宋体"/>
          <w:color w:val="000000"/>
          <w:sz w:val="24"/>
          <w:szCs w:val="24"/>
          <w:highlight w:val="none"/>
        </w:rPr>
        <w:t xml:space="preserve">联系电话：025-68505085 </w:t>
      </w:r>
      <w:r>
        <w:rPr>
          <w:rFonts w:hint="eastAsia"/>
          <w:color w:val="000000"/>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rPr>
        <w:t xml:space="preserve">第二章  </w:t>
      </w:r>
      <w:bookmarkEnd w:id="42"/>
      <w:r/>
      <w:bookmarkStart w:id="43" w:name="_Toc16938518"/>
      <w:r/>
      <w:bookmarkStart w:id="44" w:name="_Toc120614213"/>
      <w:r/>
      <w:bookmarkStart w:id="45" w:name="_Toc20823274"/>
      <w:r/>
      <w:bookmarkStart w:id="46" w:name="_Toc513029202"/>
      <w:r>
        <w:rPr>
          <w:rFonts w:hint="eastAsia" w:ascii="方正小标宋简体" w:hAnsi="方正小标宋简体" w:eastAsia="方正小标宋简体" w:cs="方正小标宋简体"/>
          <w:color w:val="000000"/>
          <w:sz w:val="36"/>
          <w:szCs w:val="36"/>
          <w:highlight w:val="none"/>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highlight w:val="none"/>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47" w:name="_Toc120614214"/>
      <w:r/>
      <w:bookmarkStart w:id="48" w:name="_Toc513029203"/>
      <w:r/>
      <w:bookmarkStart w:id="49" w:name="_Toc20823275"/>
      <w:r/>
      <w:bookmarkStart w:id="50" w:name="_Toc16938519"/>
      <w:r/>
      <w:bookmarkStart w:id="51" w:name="_Toc513029242"/>
      <w:r/>
      <w:bookmarkStart w:id="52" w:name="_Toc16938558"/>
      <w:r/>
      <w:bookmarkStart w:id="53" w:name="_Toc20823314"/>
      <w:r/>
      <w:bookmarkStart w:id="54" w:name="_Toc479757207"/>
      <w:r/>
      <w:bookmarkStart w:id="55" w:name="_Toc120614221"/>
      <w:r>
        <w:rPr>
          <w:rFonts w:hint="eastAsia" w:ascii="方正黑体_GBK" w:hAnsi="方正黑体_GBK" w:eastAsia="方正黑体_GBK" w:cs="方正黑体_GBK"/>
          <w:b w:val="0"/>
          <w:bCs w:val="0"/>
          <w:color w:val="000000"/>
          <w:sz w:val="30"/>
          <w:szCs w:val="30"/>
          <w:highlight w:val="none"/>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color w:val="000000"/>
          <w:highlight w:val="none"/>
        </w:rPr>
        <w:t xml:space="preserve">1</w:t>
      </w:r>
      <w:bookmarkEnd w:id="57"/>
      <w:r>
        <w:rPr>
          <w:rFonts w:hint="eastAsia" w:ascii="方正楷体_GBK" w:hAnsi="方正楷体_GBK" w:eastAsia="方正楷体_GBK" w:cs="方正楷体_GBK"/>
          <w:color w:val="000000"/>
          <w:highlight w:val="none"/>
        </w:rPr>
        <w:t xml:space="preserve">.招标方式</w:t>
      </w:r>
      <w:bookmarkEnd w:id="58"/>
      <w:r/>
      <w:bookmarkEnd w:id="59"/>
      <w:r/>
      <w:bookmarkEnd w:id="60"/>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本次招标采取公开招标方式，本文件仅适用于招标公告中所述项目。</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61" w:name="_Toc513029205"/>
      <w:r/>
      <w:bookmarkStart w:id="62" w:name="_Toc20823277"/>
      <w:r/>
      <w:bookmarkStart w:id="63" w:name="_Toc16938521"/>
      <w:r>
        <w:rPr>
          <w:rFonts w:hint="eastAsia" w:ascii="方正楷体_GBK" w:hAnsi="方正楷体_GBK" w:eastAsia="方正楷体_GBK" w:cs="方正楷体_GBK"/>
          <w:color w:val="000000"/>
          <w:highlight w:val="none"/>
        </w:rPr>
        <w:t xml:space="preserve">2.合格的投标人</w:t>
      </w:r>
      <w:bookmarkEnd w:id="61"/>
      <w:r/>
      <w:bookmarkEnd w:id="62"/>
      <w:r/>
      <w:bookmarkEnd w:id="63"/>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2.1 满足招标公告对供应商资格要求的规定。</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2.2 满足招标文件规定的实质性要求和条件。</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64" w:name="_Toc16938522"/>
      <w:r/>
      <w:bookmarkStart w:id="65" w:name="_Toc20823278"/>
      <w:r/>
      <w:bookmarkStart w:id="66" w:name="_Toc513029206"/>
      <w:r>
        <w:rPr>
          <w:rFonts w:hint="eastAsia" w:ascii="方正楷体_GBK" w:hAnsi="方正楷体_GBK" w:eastAsia="方正楷体_GBK" w:cs="方正楷体_GBK"/>
          <w:color w:val="000000"/>
          <w:highlight w:val="none"/>
        </w:rPr>
        <w:t xml:space="preserve">3.适用法律</w:t>
      </w:r>
      <w:bookmarkEnd w:id="64"/>
      <w:r/>
      <w:bookmarkEnd w:id="65"/>
      <w:r/>
      <w:bookmarkEnd w:id="66"/>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67" w:name="_Toc20823279"/>
      <w:r/>
      <w:bookmarkStart w:id="68" w:name="_Toc462564067"/>
      <w:r/>
      <w:bookmarkStart w:id="69" w:name="_Toc513029207"/>
      <w:r/>
      <w:bookmarkStart w:id="70" w:name="_Toc16938523"/>
      <w:r>
        <w:rPr>
          <w:rFonts w:hint="eastAsia" w:ascii="方正楷体_GBK" w:hAnsi="方正楷体_GBK" w:eastAsia="方正楷体_GBK" w:cs="方正楷体_GBK"/>
          <w:color w:val="000000"/>
          <w:highlight w:val="none"/>
        </w:rPr>
        <w:t xml:space="preserve">4.投标费用</w:t>
      </w:r>
      <w:bookmarkEnd w:id="67"/>
      <w:r/>
      <w:bookmarkEnd w:id="68"/>
      <w:r/>
      <w:bookmarkEnd w:id="69"/>
      <w:r/>
      <w:bookmarkEnd w:id="70"/>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4.1 投标人应自行承担所有与参加投标有关的费用，无论投标过程中的做法和结果如何，交易中心在任何情况下均无义务和责任承担这些费用。</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4.2 本次招标交易中心和采购人不收取标书工本费与中标服务费。</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5.招标文件的约束力</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5.1 投标人一旦参加本项目采购活动，即被认为接受了本文件的规定和约束。</w:t>
      </w:r>
      <w:r>
        <w:rPr>
          <w:rFonts w:hint="eastAsia" w:ascii="宋体" w:hAnsi="宋体"/>
          <w:color w:val="000000"/>
          <w:sz w:val="24"/>
          <w:highlight w:val="none"/>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71" w:name="_Toc120614215"/>
      <w:r/>
      <w:bookmarkStart w:id="72" w:name="_Toc20823281"/>
      <w:r/>
      <w:bookmarkStart w:id="73" w:name="_Toc513029209"/>
      <w:r/>
      <w:bookmarkStart w:id="74" w:name="_Toc16938525"/>
      <w:r>
        <w:rPr>
          <w:rFonts w:hint="eastAsia" w:ascii="方正黑体_GBK" w:hAnsi="方正黑体_GBK" w:eastAsia="方正黑体_GBK" w:cs="方正黑体_GBK"/>
          <w:b w:val="0"/>
          <w:bCs w:val="0"/>
          <w:color w:val="000000"/>
          <w:sz w:val="30"/>
          <w:szCs w:val="30"/>
          <w:highlight w:val="none"/>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75" w:name="_Toc20823282"/>
      <w:r/>
      <w:bookmarkStart w:id="76" w:name="_Toc513029210"/>
      <w:r/>
      <w:bookmarkStart w:id="77" w:name="_Toc16938526"/>
      <w:r>
        <w:rPr>
          <w:rFonts w:hint="eastAsia" w:ascii="方正楷体_GBK" w:hAnsi="方正楷体_GBK" w:eastAsia="方正楷体_GBK" w:cs="方正楷体_GBK"/>
          <w:color w:val="000000"/>
          <w:highlight w:val="none"/>
        </w:rPr>
        <w:t xml:space="preserve">6.招标文件构成</w:t>
      </w:r>
      <w:bookmarkEnd w:id="75"/>
      <w:r/>
      <w:bookmarkEnd w:id="76"/>
      <w:r/>
      <w:bookmarkEnd w:id="77"/>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6.1 招标文件由以下部分组成：</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（1）投标邀请</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（2）投标人须知</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（3）合同文本</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（4）采购需求</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（5）评标方法与评标标准</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（6）投标文件格式</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投标人应仔细检查招标文件是否齐全，如有缺漏请立即与交易中心联系。</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78" w:name="_Toc462564070"/>
      <w:r/>
      <w:bookmarkStart w:id="79" w:name="_Toc20823283"/>
      <w:r/>
      <w:bookmarkStart w:id="80" w:name="_Toc513029211"/>
      <w:r/>
      <w:bookmarkStart w:id="81" w:name="_Toc16938527"/>
      <w:r>
        <w:rPr>
          <w:rFonts w:hint="eastAsia" w:ascii="方正楷体_GBK" w:hAnsi="方正楷体_GBK" w:eastAsia="方正楷体_GBK" w:cs="方正楷体_GBK"/>
          <w:color w:val="000000"/>
          <w:highlight w:val="none"/>
        </w:rPr>
        <w:t xml:space="preserve">7.招标文件的澄清</w:t>
      </w:r>
      <w:bookmarkEnd w:id="78"/>
      <w:r/>
      <w:bookmarkEnd w:id="79"/>
      <w:r/>
      <w:bookmarkEnd w:id="80"/>
      <w:r/>
      <w:bookmarkEnd w:id="81"/>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7.1 任何要求对招标文件进行澄清的投标人，应在投标截止期十日前按招标公告中的通讯地址，以书面形式通知交易中心。</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82" w:name="_Toc16938528"/>
      <w:r/>
      <w:bookmarkStart w:id="83" w:name="_Toc20823284"/>
      <w:r/>
      <w:bookmarkStart w:id="84" w:name="_Toc462564071"/>
      <w:r/>
      <w:bookmarkStart w:id="85" w:name="_Toc513029212"/>
      <w:r>
        <w:rPr>
          <w:rFonts w:hint="eastAsia" w:ascii="方正楷体_GBK" w:hAnsi="方正楷体_GBK" w:eastAsia="方正楷体_GBK" w:cs="方正楷体_GBK"/>
          <w:color w:val="000000"/>
          <w:highlight w:val="none"/>
        </w:rPr>
        <w:t xml:space="preserve">8.招标文件的修改</w:t>
      </w:r>
      <w:bookmarkEnd w:id="82"/>
      <w:r/>
      <w:bookmarkEnd w:id="83"/>
      <w:r/>
      <w:bookmarkEnd w:id="84"/>
      <w:r/>
      <w:bookmarkEnd w:id="85"/>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bookmarkStart w:id="86" w:name="_Toc16938529"/>
      <w:r/>
      <w:bookmarkStart w:id="87" w:name="_Toc513029213"/>
      <w:r/>
      <w:bookmarkStart w:id="88" w:name="_Toc120614216"/>
      <w:r/>
      <w:bookmarkStart w:id="89" w:name="_Toc20823285"/>
      <w:r/>
      <w:bookmarkStart w:id="90" w:name="_Toc462564072"/>
      <w:r>
        <w:rPr>
          <w:rFonts w:hint="eastAsia" w:ascii="宋体" w:hAnsi="宋体"/>
          <w:color w:val="000000"/>
          <w:sz w:val="24"/>
          <w:highlight w:val="none"/>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8.3 交易中心有权按照法定的要求推迟投标截止日期和开标日期，并在原公告媒体发布更正公告。</w:t>
      </w:r>
      <w:r>
        <w:rPr>
          <w:rFonts w:hint="eastAsia" w:ascii="宋体" w:hAnsi="宋体"/>
          <w:color w:val="000000"/>
          <w:sz w:val="24"/>
          <w:highlight w:val="none"/>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91" w:name="_Toc20823286"/>
      <w:r/>
      <w:bookmarkStart w:id="92" w:name="_Toc16938530"/>
      <w:r/>
      <w:bookmarkStart w:id="93" w:name="_Toc513029214"/>
      <w:r/>
      <w:bookmarkStart w:id="94" w:name="_Toc462564073"/>
      <w:r>
        <w:rPr>
          <w:rFonts w:hint="eastAsia" w:ascii="方正楷体_GBK" w:hAnsi="方正楷体_GBK" w:eastAsia="方正楷体_GBK" w:cs="方正楷体_GBK"/>
          <w:color w:val="000000"/>
          <w:highlight w:val="none"/>
        </w:rPr>
        <w:t xml:space="preserve">9.投标文件的语言及度量衡单位</w:t>
      </w:r>
      <w:bookmarkEnd w:id="91"/>
      <w:r/>
      <w:bookmarkEnd w:id="92"/>
      <w:r/>
      <w:bookmarkEnd w:id="93"/>
      <w:r/>
      <w:bookmarkEnd w:id="94"/>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9.1 投标人提交的投标文件以及投标人与交易中心就有关投标的所有来往通知、函件和文件均应使用简体中文。</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9.2 除技术性能另有规定外，投标文件所使用的度量衡单位，均须采用国家法定计量单位。</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95" w:name="_Toc513029215"/>
      <w:r/>
      <w:bookmarkStart w:id="96" w:name="_Toc16938531"/>
      <w:r/>
      <w:bookmarkStart w:id="97" w:name="_Toc462564074"/>
      <w:r/>
      <w:bookmarkStart w:id="98" w:name="_Toc20823287"/>
      <w:r>
        <w:rPr>
          <w:rFonts w:hint="eastAsia" w:ascii="方正楷体_GBK" w:hAnsi="方正楷体_GBK" w:eastAsia="方正楷体_GBK" w:cs="方正楷体_GBK"/>
          <w:color w:val="000000"/>
          <w:highlight w:val="none"/>
        </w:rPr>
        <w:t xml:space="preserve">10.投标文件构成</w:t>
      </w:r>
      <w:bookmarkEnd w:id="95"/>
      <w:r/>
      <w:bookmarkEnd w:id="96"/>
      <w:r/>
      <w:bookmarkEnd w:id="97"/>
      <w:r/>
      <w:bookmarkEnd w:id="98"/>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10.1 投标人编写的投标文件应包括资格证明文件、符合性证明文件、投标分项报价表、响应及偏离表、其他证明文件、投标函、开标一览表等部分。</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10.2 如标书制作工具中格式和内容与“江苏政府采购网”发布的招标文件不一致，以“江苏政府采购网”发布的招标文件为准。</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99" w:name="_Hlt26670360"/>
      <w:r/>
      <w:bookmarkEnd w:id="99"/>
      <w:r/>
      <w:bookmarkStart w:id="100" w:name="_Hlt26954838"/>
      <w:r/>
      <w:bookmarkEnd w:id="100"/>
      <w:r/>
      <w:bookmarkStart w:id="101" w:name="_Toc14577357"/>
      <w:r/>
      <w:bookmarkStart w:id="102" w:name="_Toc49090509"/>
      <w:r/>
      <w:bookmarkStart w:id="103" w:name="_Toc513029219"/>
      <w:r/>
      <w:bookmarkStart w:id="104" w:name="_Toc14577354"/>
      <w:r/>
      <w:bookmarkStart w:id="105" w:name="_Toc49090507"/>
      <w:r/>
      <w:bookmarkStart w:id="106" w:name="_Toc513029216"/>
      <w:r/>
      <w:bookmarkStart w:id="107" w:name="_Hlt26668975"/>
      <w:r/>
      <w:bookmarkEnd w:id="107"/>
      <w:r>
        <w:rPr>
          <w:rFonts w:hint="eastAsia" w:ascii="方正楷体_GBK" w:hAnsi="方正楷体_GBK" w:eastAsia="方正楷体_GBK" w:cs="方正楷体_GBK"/>
          <w:color w:val="000000"/>
          <w:highlight w:val="none"/>
        </w:rPr>
        <w:t xml:space="preserve">11.证明投标人及投标标的符合招标文件规定的文件</w:t>
      </w:r>
      <w:bookmarkEnd w:id="101"/>
      <w:r/>
      <w:bookmarkEnd w:id="102"/>
      <w:r/>
      <w:bookmarkEnd w:id="103"/>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bookmarkEnd w:id="104"/>
      <w:r/>
      <w:bookmarkEnd w:id="105"/>
      <w:r/>
      <w:bookmarkEnd w:id="106"/>
      <w:r/>
      <w:bookmarkStart w:id="108" w:name="_Toc49090508"/>
      <w:r/>
      <w:bookmarkStart w:id="109" w:name="_Toc14577355"/>
      <w:r>
        <w:rPr>
          <w:rFonts w:hint="eastAsia" w:ascii="宋体" w:hAnsi="宋体"/>
          <w:color w:val="000000"/>
          <w:sz w:val="24"/>
          <w:highlight w:val="none"/>
        </w:rPr>
        <w:t xml:space="preserve">11.1 投标人应按照法律、法规、规章和规范性文件以及招标文件要求提交证明文件，证明其投标标的符合招标文件规定。</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11.2 招标文件对证明文件无明确形式要求的，证明文件可以以文字资料、图纸和数据等形式提交。</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12.投标分项报价</w:t>
      </w:r>
      <w:bookmarkEnd w:id="109"/>
      <w:r/>
      <w:bookmarkStart w:id="110" w:name="_Hlt26670373"/>
      <w:r/>
      <w:bookmarkEnd w:id="110"/>
      <w:r>
        <w:rPr>
          <w:rFonts w:hint="eastAsia" w:ascii="方正楷体_GBK" w:hAnsi="方正楷体_GBK" w:eastAsia="方正楷体_GBK" w:cs="方正楷体_GBK"/>
          <w:color w:val="000000"/>
          <w:highlight w:val="none"/>
        </w:rPr>
        <w:t xml:space="preserve">表</w:t>
      </w:r>
      <w:bookmarkEnd w:id="108"/>
      <w:r>
        <w:rPr>
          <w:rFonts w:hint="eastAsia" w:ascii="方正楷体_GBK" w:hAnsi="方正楷体_GBK" w:eastAsia="方正楷体_GBK" w:cs="方正楷体_GBK"/>
          <w:color w:val="000000"/>
          <w:highlight w:val="none"/>
        </w:rPr>
        <w:t xml:space="preserve">（如有）</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12.1 投</w:t>
      </w:r>
      <w:bookmarkStart w:id="111" w:name="_Hlt26954840"/>
      <w:r/>
      <w:bookmarkEnd w:id="111"/>
      <w:r>
        <w:rPr>
          <w:rFonts w:hint="eastAsia" w:ascii="宋体" w:hAnsi="宋体"/>
          <w:color w:val="000000"/>
          <w:sz w:val="24"/>
          <w:highlight w:val="none"/>
        </w:rPr>
        <w:t xml:space="preserve">标人应按照招标文件规定格式填报投标分项报价表</w:t>
      </w:r>
      <w:bookmarkStart w:id="112" w:name="_Hlt26670399"/>
      <w:r/>
      <w:bookmarkEnd w:id="112"/>
      <w:r>
        <w:rPr>
          <w:rFonts w:hint="eastAsia" w:ascii="宋体" w:hAnsi="宋体"/>
          <w:color w:val="000000"/>
          <w:sz w:val="24"/>
          <w:highlight w:val="none"/>
        </w:rPr>
        <w:t xml:space="preserve">。</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12.2 投标文件中的单价和总价无特殊规定的采用人民币报价，以元为单位标注。招标文件另有规定的按规定执行。</w:t>
      </w:r>
      <w:r>
        <w:rPr>
          <w:rFonts w:hint="eastAsia" w:ascii="宋体" w:hAnsi="宋体"/>
          <w:color w:val="000000"/>
          <w:sz w:val="24"/>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13" w:name="_Hlt26670403"/>
      <w:r/>
      <w:bookmarkEnd w:id="113"/>
      <w:r/>
      <w:bookmarkStart w:id="114" w:name="_Hlt26954844"/>
      <w:r/>
      <w:bookmarkEnd w:id="114"/>
      <w:r/>
      <w:bookmarkStart w:id="115" w:name="_Hlt26670486"/>
      <w:r/>
      <w:bookmarkEnd w:id="115"/>
      <w:r/>
      <w:bookmarkStart w:id="116" w:name="_Hlt26954848"/>
      <w:r/>
      <w:bookmarkEnd w:id="116"/>
      <w:r/>
      <w:bookmarkStart w:id="117" w:name="_Hlt26954846"/>
      <w:r/>
      <w:bookmarkEnd w:id="117"/>
      <w:r/>
      <w:bookmarkStart w:id="118" w:name="_Hlt26670425"/>
      <w:r/>
      <w:bookmarkEnd w:id="118"/>
      <w:r/>
      <w:bookmarkStart w:id="119" w:name="_Hlt26954842"/>
      <w:r/>
      <w:bookmarkEnd w:id="119"/>
      <w:r/>
      <w:bookmarkStart w:id="120" w:name="_Hlt26668983"/>
      <w:r/>
      <w:bookmarkEnd w:id="120"/>
      <w:r/>
      <w:bookmarkStart w:id="121" w:name="_Hlt26954731"/>
      <w:r/>
      <w:bookmarkEnd w:id="121"/>
      <w:r/>
      <w:bookmarkStart w:id="122" w:name="_Hlt26670482"/>
      <w:r/>
      <w:bookmarkEnd w:id="122"/>
      <w:r>
        <w:rPr>
          <w:rFonts w:hint="eastAsia" w:ascii="方正楷体_GBK" w:hAnsi="方正楷体_GBK" w:eastAsia="方正楷体_GBK" w:cs="方正楷体_GBK"/>
          <w:color w:val="000000"/>
          <w:highlight w:val="none"/>
        </w:rPr>
        <w:t xml:space="preserve">13.响应及偏离表</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13.1 投标人需对招标文件中的技术要求与商务要求逐项作出响应或偏离说明。</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13.2 投标人可以在投标文件中提供认为需要的其他技术文件或说明。</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23" w:name="_Toc14577359"/>
      <w:r/>
      <w:bookmarkStart w:id="124" w:name="_Toc49090510"/>
      <w:r>
        <w:rPr>
          <w:rFonts w:hint="eastAsia" w:ascii="方正楷体_GBK" w:hAnsi="方正楷体_GBK" w:eastAsia="方正楷体_GBK" w:cs="方正楷体_GBK"/>
          <w:color w:val="000000"/>
          <w:highlight w:val="none"/>
        </w:rPr>
        <w:t xml:space="preserve">14.投标函和开标一览表及核心产品品牌一览表</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14.1 投标人应按照招标文件规定格式完整、正确填报投标函、开标一览表及核心产品品牌一览表。</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color w:val="000000"/>
          <w:sz w:val="24"/>
          <w:highlight w:val="none"/>
        </w:rPr>
        <w:t xml:space="preserve">以</w:t>
      </w:r>
      <w:r>
        <w:rPr>
          <w:rFonts w:hint="eastAsia" w:ascii="宋体" w:hAnsi="宋体"/>
          <w:color w:val="000000"/>
          <w:sz w:val="24"/>
          <w:highlight w:val="none"/>
          <w:lang w:val="zh-CN"/>
        </w:rPr>
        <w:t xml:space="preserve">开标一览表中价格为准。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14.3 核心产品品牌一览表中所投核心产品品牌缺项的将视为无效投标。</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End w:id="123"/>
      <w:r/>
      <w:bookmarkEnd w:id="124"/>
      <w:r/>
      <w:bookmarkStart w:id="125" w:name="_Hlt26954850"/>
      <w:r/>
      <w:bookmarkEnd w:id="125"/>
      <w:r/>
      <w:bookmarkStart w:id="126" w:name="_Hlt26670489"/>
      <w:r/>
      <w:bookmarkEnd w:id="126"/>
      <w:r/>
      <w:bookmarkStart w:id="127" w:name="_Hlt26954734"/>
      <w:r/>
      <w:bookmarkEnd w:id="127"/>
      <w:r/>
      <w:bookmarkStart w:id="128" w:name="_Toc14577360"/>
      <w:r/>
      <w:bookmarkStart w:id="129" w:name="_Toc49090511"/>
      <w:r>
        <w:rPr>
          <w:rFonts w:hint="eastAsia" w:ascii="方正楷体_GBK" w:hAnsi="方正楷体_GBK" w:eastAsia="方正楷体_GBK" w:cs="方正楷体_GBK"/>
          <w:color w:val="000000"/>
          <w:highlight w:val="none"/>
        </w:rPr>
        <w:t xml:space="preserve">15.投标有效期</w:t>
      </w:r>
      <w:bookmarkEnd w:id="128"/>
      <w:r/>
      <w:bookmarkEnd w:id="129"/>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15.1 投标有效期为</w:t>
      </w:r>
      <w:r>
        <w:rPr>
          <w:rFonts w:hint="eastAsia" w:ascii="宋体" w:hAnsi="宋体"/>
          <w:color w:val="000000"/>
          <w:sz w:val="24"/>
          <w:highlight w:val="none"/>
        </w:rPr>
        <w:t xml:space="preserve">招标公告</w:t>
      </w:r>
      <w:r>
        <w:rPr>
          <w:rFonts w:hint="eastAsia" w:ascii="宋体" w:hAnsi="宋体"/>
          <w:color w:val="000000"/>
          <w:sz w:val="24"/>
          <w:highlight w:val="none"/>
          <w:lang w:val="zh-CN"/>
        </w:rPr>
        <w:t xml:space="preserve">规定的开标之日</w:t>
      </w:r>
      <w:r>
        <w:rPr>
          <w:rFonts w:hint="eastAsia" w:ascii="宋体" w:hAnsi="宋体"/>
          <w:color w:val="000000"/>
          <w:sz w:val="24"/>
          <w:highlight w:val="none"/>
        </w:rPr>
        <w:t xml:space="preserve">起</w:t>
      </w:r>
      <w:r>
        <w:rPr>
          <w:rFonts w:hint="eastAsia" w:ascii="宋体" w:hAnsi="宋体"/>
          <w:color w:val="000000"/>
          <w:sz w:val="24"/>
          <w:highlight w:val="none"/>
          <w:lang w:val="zh-CN"/>
        </w:rPr>
        <w:t xml:space="preserve">六十天。投标有效期比规定短的将被视为未实质性响应招标文件而</w:t>
      </w:r>
      <w:r>
        <w:rPr>
          <w:rFonts w:hint="eastAsia" w:ascii="宋体" w:hAnsi="宋体"/>
          <w:color w:val="000000"/>
          <w:sz w:val="24"/>
          <w:highlight w:val="none"/>
        </w:rPr>
        <w:t xml:space="preserve">被</w:t>
      </w:r>
      <w:r>
        <w:rPr>
          <w:rFonts w:hint="eastAsia" w:ascii="宋体" w:hAnsi="宋体"/>
          <w:color w:val="000000"/>
          <w:sz w:val="24"/>
          <w:highlight w:val="none"/>
          <w:lang w:val="zh-CN"/>
        </w:rPr>
        <w:t xml:space="preserve">拒绝。</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16.投标有效期的延长</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rPr>
          <w:rFonts w:hint="eastAsia" w:ascii="宋体" w:hAnsi="宋体"/>
          <w:color w:val="000000"/>
          <w:sz w:val="24"/>
          <w:highlight w:val="none"/>
          <w:lang w:val="zh-CN"/>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130" w:name="_Hlt26954739"/>
      <w:r/>
      <w:bookmarkEnd w:id="130"/>
      <w:r/>
      <w:bookmarkStart w:id="131" w:name="_Hlt26954852"/>
      <w:r/>
      <w:bookmarkEnd w:id="131"/>
      <w:r/>
      <w:bookmarkStart w:id="132" w:name="_Toc16938540"/>
      <w:r/>
      <w:bookmarkStart w:id="133" w:name="_Toc513029224"/>
      <w:r/>
      <w:bookmarkStart w:id="134" w:name="_Toc120614217"/>
      <w:r/>
      <w:bookmarkStart w:id="135" w:name="_Toc20823296"/>
      <w:r>
        <w:rPr>
          <w:rFonts w:hint="eastAsia" w:ascii="方正黑体_GBK" w:hAnsi="方正黑体_GBK" w:eastAsia="方正黑体_GBK" w:cs="方正黑体_GBK"/>
          <w:b w:val="0"/>
          <w:bCs w:val="0"/>
          <w:color w:val="000000"/>
          <w:sz w:val="30"/>
          <w:szCs w:val="30"/>
          <w:highlight w:val="none"/>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36" w:name="_Toc16938541"/>
      <w:r/>
      <w:bookmarkStart w:id="137" w:name="_Toc513029225"/>
      <w:r/>
      <w:bookmarkStart w:id="138" w:name="_Toc462564084"/>
      <w:r/>
      <w:bookmarkStart w:id="139" w:name="_Toc20823297"/>
      <w:r>
        <w:rPr>
          <w:rFonts w:hint="eastAsia" w:ascii="方正楷体_GBK" w:hAnsi="方正楷体_GBK" w:eastAsia="方正楷体_GBK" w:cs="方正楷体_GBK"/>
          <w:color w:val="000000"/>
          <w:highlight w:val="none"/>
        </w:rPr>
        <w:t xml:space="preserve">17.投标文件</w:t>
      </w:r>
      <w:bookmarkEnd w:id="136"/>
      <w:r/>
      <w:bookmarkEnd w:id="137"/>
      <w:r/>
      <w:bookmarkEnd w:id="138"/>
      <w:r/>
      <w:bookmarkEnd w:id="139"/>
      <w:r>
        <w:rPr>
          <w:rFonts w:hint="eastAsia" w:ascii="方正楷体_GBK" w:hAnsi="方正楷体_GBK" w:eastAsia="方正楷体_GBK" w:cs="方正楷体_GBK"/>
          <w:color w:val="000000"/>
          <w:highlight w:val="none"/>
        </w:rPr>
        <w:t xml:space="preserve">的递交</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17.1 投标人应当按照《操作手册》规定，在招标公告规定的投标截止时间前制作并上传电子投标文件。</w:t>
      </w:r>
      <w:bookmarkStart w:id="140" w:name="_Toc20823298"/>
      <w:r/>
      <w:bookmarkStart w:id="141" w:name="_Toc513029226"/>
      <w:r/>
      <w:bookmarkStart w:id="142" w:name="_Toc16938542"/>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bookmarkEnd w:id="140"/>
      <w:r/>
      <w:bookmarkEnd w:id="141"/>
      <w:r/>
      <w:bookmarkEnd w:id="142"/>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 投标人应充分考虑网络环境、网络带宽等因素</w:t>
      </w:r>
      <w:r>
        <w:rPr>
          <w:rFonts w:hint="eastAsia" w:ascii="宋体" w:hAnsi="宋体"/>
          <w:color w:val="000000"/>
          <w:sz w:val="24"/>
          <w:highlight w:val="none"/>
        </w:rPr>
        <w:t xml:space="preserve">可能对投标产生的影响</w:t>
      </w:r>
      <w:r>
        <w:rPr>
          <w:rFonts w:hint="eastAsia" w:ascii="宋体" w:hAnsi="宋体"/>
          <w:color w:val="000000"/>
          <w:sz w:val="24"/>
          <w:highlight w:val="none"/>
          <w:lang w:val="zh-CN"/>
        </w:rPr>
        <w:t xml:space="preserve">，如因投标人自身原因造成的电子投标文件上传不成功的，按照本招标文件第二章第2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.1条规定做无效投标处理。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 交易中心可以按照规定，通过修改招标文件酌情延长投标截止时间，在此情况下，投标人的所有权利和义务均以延长后新的截止时间为准。</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43" w:name="_Toc20823299"/>
      <w:r/>
      <w:bookmarkStart w:id="144" w:name="_Toc16938543"/>
      <w:r/>
      <w:bookmarkStart w:id="145" w:name="_Toc513029227"/>
      <w:r>
        <w:rPr>
          <w:rFonts w:hint="eastAsia" w:ascii="方正楷体_GBK" w:hAnsi="方正楷体_GBK" w:eastAsia="方正楷体_GBK" w:cs="方正楷体_GBK"/>
          <w:color w:val="000000"/>
          <w:highlight w:val="none"/>
        </w:rPr>
        <w:t xml:space="preserve">18.投标文件</w:t>
      </w:r>
      <w:bookmarkEnd w:id="143"/>
      <w:r/>
      <w:bookmarkEnd w:id="144"/>
      <w:r/>
      <w:bookmarkEnd w:id="145"/>
      <w:r>
        <w:rPr>
          <w:rFonts w:hint="eastAsia" w:ascii="方正楷体_GBK" w:hAnsi="方正楷体_GBK" w:eastAsia="方正楷体_GBK" w:cs="方正楷体_GBK"/>
          <w:color w:val="000000"/>
          <w:highlight w:val="none"/>
        </w:rPr>
        <w:t xml:space="preserve">的拒收</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投标截止时间后上传的任何投标文件将被拒绝。</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46" w:name="_Toc20823300"/>
      <w:r/>
      <w:bookmarkStart w:id="147" w:name="_Toc513029228"/>
      <w:r/>
      <w:bookmarkStart w:id="148" w:name="_Toc16938544"/>
      <w:r>
        <w:rPr>
          <w:rFonts w:hint="eastAsia" w:ascii="方正楷体_GBK" w:hAnsi="方正楷体_GBK" w:eastAsia="方正楷体_GBK" w:cs="方正楷体_GBK"/>
          <w:color w:val="000000"/>
          <w:highlight w:val="none"/>
        </w:rPr>
        <w:t xml:space="preserve">19.投标文件的撤回和修改</w:t>
      </w:r>
      <w:bookmarkEnd w:id="146"/>
      <w:r/>
      <w:bookmarkEnd w:id="147"/>
      <w:r/>
      <w:bookmarkEnd w:id="148"/>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 投标文件的撤回</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投标人可在投标截止时间前撤回其电子投标文件，具体操作方法见《操作手册》。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投标人撤回电子投标文件，则认为其不再参与本项目投标活动。</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 投标文件的修改</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投标人可在投标截止时间前对其电子投标文件进行修改，具体操作方法见《操作手册》。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投标截止时间之后，投标人不得对其电子投标文件作任何修改。</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.3 在投标截止时间至招标文件中规定的投标有效期满之间的这段时间内，投标人不得撤回其投标。</w:t>
      </w:r>
      <w:bookmarkStart w:id="149" w:name="_Toc513029229"/>
      <w:r/>
      <w:bookmarkStart w:id="150" w:name="_Toc16938545"/>
      <w:r/>
      <w:bookmarkStart w:id="151" w:name="_Toc120614218"/>
      <w:r/>
      <w:bookmarkStart w:id="152" w:name="_Toc20823301"/>
      <w:r>
        <w:rPr>
          <w:rFonts w:hint="eastAsia" w:ascii="宋体" w:hAnsi="宋体"/>
          <w:color w:val="000000"/>
          <w:sz w:val="24"/>
          <w:highlight w:val="none"/>
          <w:lang w:val="zh-CN"/>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53" w:name="_Toc513029230"/>
      <w:r/>
      <w:bookmarkStart w:id="154" w:name="_Toc16938546"/>
      <w:r/>
      <w:bookmarkStart w:id="155" w:name="_Toc20823302"/>
      <w:r>
        <w:rPr>
          <w:rFonts w:hint="eastAsia" w:ascii="方正楷体_GBK" w:hAnsi="方正楷体_GBK" w:eastAsia="方正楷体_GBK" w:cs="方正楷体_GBK"/>
          <w:color w:val="000000"/>
          <w:highlight w:val="none"/>
        </w:rPr>
        <w:t xml:space="preserve">20.开标</w:t>
      </w:r>
      <w:bookmarkEnd w:id="153"/>
      <w:r/>
      <w:bookmarkEnd w:id="154"/>
      <w:r/>
      <w:bookmarkEnd w:id="155"/>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投标人在开标过程中涉及到的投标文件解密、开标结果确认等工作，应按照《操作手册》规定执行。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投标人如果对开标过程和开标</w:t>
      </w:r>
      <w:r>
        <w:rPr>
          <w:rFonts w:hint="eastAsia" w:ascii="宋体" w:hAnsi="宋体"/>
          <w:color w:val="000000"/>
          <w:sz w:val="24"/>
          <w:highlight w:val="none"/>
        </w:rPr>
        <w:t xml:space="preserve">结果</w:t>
      </w:r>
      <w:r>
        <w:rPr>
          <w:rFonts w:hint="eastAsia" w:ascii="宋体" w:hAnsi="宋体"/>
          <w:color w:val="000000"/>
          <w:sz w:val="24"/>
          <w:highlight w:val="none"/>
          <w:lang w:val="zh-CN"/>
        </w:rPr>
        <w:t xml:space="preserve">有疑义，应当根据《操作手册》规定提出，苏采云系统中《开标记录表》公布后5分钟内未提出的，视同认可开标结果。</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56" w:name="_Toc20823303"/>
      <w:r/>
      <w:bookmarkStart w:id="157" w:name="_Toc16938547"/>
      <w:r/>
      <w:bookmarkStart w:id="158" w:name="_Toc513029231"/>
      <w:r>
        <w:rPr>
          <w:rFonts w:hint="eastAsia" w:ascii="方正楷体_GBK" w:hAnsi="方正楷体_GBK" w:eastAsia="方正楷体_GBK" w:cs="方正楷体_GBK"/>
          <w:color w:val="000000"/>
          <w:highlight w:val="none"/>
        </w:rPr>
        <w:t xml:space="preserve">21.评标</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 </w:t>
      </w:r>
      <w:r>
        <w:rPr>
          <w:rFonts w:hint="eastAsia" w:ascii="宋体" w:hAnsi="宋体"/>
          <w:color w:val="000000"/>
          <w:sz w:val="24"/>
          <w:highlight w:val="none"/>
        </w:rPr>
        <w:t xml:space="preserve">评标由依法组建的</w:t>
      </w:r>
      <w:r>
        <w:rPr>
          <w:rFonts w:hint="eastAsia" w:ascii="宋体" w:hAnsi="宋体"/>
          <w:color w:val="000000"/>
          <w:sz w:val="24"/>
          <w:highlight w:val="none"/>
          <w:lang w:val="zh-CN"/>
        </w:rPr>
        <w:t xml:space="preserve">评标委员会（以下简称“评委会”）进行。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.2 评委会由采购人代表和有关方面专家组成，人员构成符合政府采购有关规定。</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评委会独立工作，负责评审所有投标文件并</w:t>
      </w:r>
      <w:r>
        <w:rPr>
          <w:rFonts w:hint="eastAsia" w:ascii="宋体" w:hAnsi="宋体"/>
          <w:color w:val="000000"/>
          <w:sz w:val="24"/>
          <w:highlight w:val="none"/>
        </w:rPr>
        <w:t xml:space="preserve">推荐</w:t>
      </w:r>
      <w:r>
        <w:rPr>
          <w:rFonts w:hint="eastAsia" w:ascii="宋体" w:hAnsi="宋体"/>
          <w:color w:val="000000"/>
          <w:sz w:val="24"/>
          <w:highlight w:val="none"/>
          <w:lang w:val="zh-CN"/>
        </w:rPr>
        <w:t xml:space="preserve">中标候选人，</w:t>
      </w:r>
      <w:r>
        <w:rPr>
          <w:rFonts w:hint="eastAsia" w:ascii="宋体" w:hAnsi="宋体"/>
          <w:color w:val="000000"/>
          <w:sz w:val="24"/>
          <w:highlight w:val="none"/>
        </w:rPr>
        <w:t xml:space="preserve">或根据采购人授权直接确定中标人</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22.评标过程的保密与公正</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bookmarkEnd w:id="156"/>
      <w:r/>
      <w:bookmarkEnd w:id="157"/>
      <w:r/>
      <w:bookmarkEnd w:id="158"/>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凡是与审查、澄清、评价和比较投标的有关资料以及授标建议等，采购人、评委、交易中心均不得向投标人或与评标无关的其他人员透露。</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投标人不得以任何</w:t>
      </w:r>
      <w:r>
        <w:rPr>
          <w:rFonts w:hint="eastAsia" w:ascii="宋体" w:hAnsi="宋体"/>
          <w:color w:val="000000"/>
          <w:sz w:val="24"/>
          <w:highlight w:val="none"/>
        </w:rPr>
        <w:t xml:space="preserve">方式</w:t>
      </w:r>
      <w:r>
        <w:rPr>
          <w:rFonts w:hint="eastAsia" w:ascii="宋体" w:hAnsi="宋体"/>
          <w:color w:val="000000"/>
          <w:sz w:val="24"/>
          <w:highlight w:val="none"/>
          <w:lang w:val="zh-CN"/>
        </w:rPr>
        <w:t xml:space="preserve">影响评标，否则其投标文件将被作为无效投标文件。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.3 交易中心和评委会不向未中标的投标人解释未中标原因，也不公布评标过程中的相关细节。</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.4 采用综合评分法的项目，未中标的投标人可于中标结果公告期限届满之日起通过苏采云系统查看</w:t>
      </w:r>
      <w:r>
        <w:rPr>
          <w:rFonts w:hint="eastAsia" w:ascii="宋体" w:hAnsi="宋体"/>
          <w:color w:val="000000"/>
          <w:sz w:val="24"/>
          <w:highlight w:val="none"/>
        </w:rPr>
        <w:t xml:space="preserve">本单位</w:t>
      </w:r>
      <w:r>
        <w:rPr>
          <w:rFonts w:hint="eastAsia" w:ascii="宋体" w:hAnsi="宋体"/>
          <w:color w:val="000000"/>
          <w:sz w:val="24"/>
          <w:highlight w:val="none"/>
          <w:lang w:val="zh-CN"/>
        </w:rPr>
        <w:t xml:space="preserve">的评审得分及排</w:t>
      </w:r>
      <w:r>
        <w:rPr>
          <w:rFonts w:hint="eastAsia" w:ascii="宋体" w:hAnsi="宋体"/>
          <w:color w:val="000000"/>
          <w:sz w:val="24"/>
          <w:highlight w:val="none"/>
        </w:rPr>
        <w:t xml:space="preserve">名</w:t>
      </w:r>
      <w:r>
        <w:rPr>
          <w:rFonts w:hint="eastAsia" w:ascii="宋体" w:hAnsi="宋体"/>
          <w:color w:val="000000"/>
          <w:sz w:val="24"/>
          <w:highlight w:val="none"/>
          <w:lang w:val="zh-CN"/>
        </w:rPr>
        <w:t xml:space="preserve">情况。</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59" w:name="_Toc20823304"/>
      <w:r/>
      <w:bookmarkStart w:id="160" w:name="_Toc16938548"/>
      <w:r/>
      <w:bookmarkStart w:id="161" w:name="_Toc513029232"/>
      <w:r>
        <w:rPr>
          <w:rFonts w:hint="eastAsia" w:ascii="方正楷体_GBK" w:hAnsi="方正楷体_GBK" w:eastAsia="方正楷体_GBK" w:cs="方正楷体_GBK"/>
          <w:color w:val="000000"/>
          <w:highlight w:val="none"/>
        </w:rPr>
        <w:t xml:space="preserve">23.投标文件的澄清</w:t>
      </w:r>
      <w:bookmarkEnd w:id="159"/>
      <w:r/>
      <w:bookmarkEnd w:id="160"/>
      <w:r/>
      <w:bookmarkEnd w:id="161"/>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投标人的澄清、说明或者补正不得超出投标文件的范围或者改变投标文件的实质性内容。</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评委会并非对每个投标人都做澄清要求。</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需要供应商进行澄清、说明和补正的，评委会将通过苏采云系统向</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发出《澄清要求函》，接到《澄清要求函》的</w:t>
      </w:r>
      <w:r>
        <w:rPr>
          <w:rFonts w:hint="eastAsia" w:ascii="宋体" w:hAnsi="宋体"/>
          <w:color w:val="000000"/>
          <w:sz w:val="24"/>
          <w:highlight w:val="none"/>
        </w:rPr>
        <w:t xml:space="preserve">投标人</w:t>
      </w:r>
      <w:r>
        <w:rPr>
          <w:rFonts w:hint="eastAsia" w:ascii="宋体" w:hAnsi="宋体"/>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.3 接到评委会澄清、说明和补正要求的，投标人如未按规定</w:t>
      </w:r>
      <w:r>
        <w:rPr>
          <w:rFonts w:hint="eastAsia" w:ascii="宋体" w:hAnsi="宋体"/>
          <w:color w:val="000000"/>
          <w:sz w:val="24"/>
          <w:highlight w:val="none"/>
        </w:rPr>
        <w:t xml:space="preserve">作</w:t>
      </w:r>
      <w:r>
        <w:rPr>
          <w:rFonts w:hint="eastAsia" w:ascii="宋体" w:hAnsi="宋体"/>
          <w:color w:val="000000"/>
          <w:sz w:val="24"/>
          <w:highlight w:val="none"/>
          <w:lang w:val="zh-CN"/>
        </w:rPr>
        <w:t xml:space="preserve">出澄清、说明和补正，其风险由投标人自行承担。</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62" w:name="_Toc20823305"/>
      <w:r/>
      <w:bookmarkStart w:id="163" w:name="_Toc16938549"/>
      <w:r/>
      <w:bookmarkStart w:id="164" w:name="_Toc513029233"/>
      <w:r>
        <w:rPr>
          <w:rFonts w:hint="eastAsia" w:ascii="方正楷体_GBK" w:hAnsi="方正楷体_GBK" w:eastAsia="方正楷体_GBK" w:cs="方正楷体_GBK"/>
          <w:color w:val="000000"/>
          <w:highlight w:val="none"/>
        </w:rPr>
        <w:t xml:space="preserve">24.投标文件的</w:t>
      </w:r>
      <w:bookmarkEnd w:id="162"/>
      <w:r/>
      <w:bookmarkEnd w:id="163"/>
      <w:r/>
      <w:bookmarkEnd w:id="164"/>
      <w:r>
        <w:rPr>
          <w:rFonts w:hint="eastAsia" w:ascii="方正楷体_GBK" w:hAnsi="方正楷体_GBK" w:eastAsia="方正楷体_GBK" w:cs="方正楷体_GBK"/>
          <w:color w:val="000000"/>
          <w:highlight w:val="none"/>
        </w:rPr>
        <w:t xml:space="preserve">审查</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投标文件审查分为资格审查和符合性审查。</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资格审查。依据法律法规和招标文件规定，由采购人对投标文件中的资格证明文件进行审查，</w:t>
      </w:r>
      <w:r>
        <w:rPr>
          <w:rFonts w:hint="eastAsia" w:ascii="宋体" w:hAnsi="宋体"/>
          <w:color w:val="000000"/>
          <w:sz w:val="24"/>
          <w:highlight w:val="none"/>
        </w:rPr>
        <w:t xml:space="preserve">并</w:t>
      </w:r>
      <w:r>
        <w:rPr>
          <w:rFonts w:hint="eastAsia" w:ascii="宋体" w:hAnsi="宋体"/>
          <w:color w:val="000000"/>
          <w:sz w:val="24"/>
          <w:highlight w:val="none"/>
          <w:lang w:val="zh-CN"/>
        </w:rPr>
        <w:t xml:space="preserve">向评委会反馈</w:t>
      </w:r>
      <w:r>
        <w:rPr>
          <w:rFonts w:hint="eastAsia" w:ascii="宋体" w:hAnsi="宋体"/>
          <w:color w:val="000000"/>
          <w:sz w:val="24"/>
          <w:highlight w:val="none"/>
        </w:rPr>
        <w:t xml:space="preserve">审查结论</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接受联合体的项目，联合体成员存在不良信用记录的，视同联合体存在不良</w:t>
      </w:r>
      <w:r>
        <w:rPr>
          <w:rFonts w:hint="eastAsia" w:ascii="宋体" w:hAnsi="宋体"/>
          <w:color w:val="000000"/>
          <w:sz w:val="24"/>
          <w:highlight w:val="none"/>
        </w:rPr>
        <w:t xml:space="preserve">信</w:t>
      </w:r>
      <w:r>
        <w:rPr>
          <w:rFonts w:hint="eastAsia" w:ascii="宋体" w:hAnsi="宋体"/>
          <w:color w:val="000000"/>
          <w:sz w:val="24"/>
          <w:highlight w:val="none"/>
          <w:lang w:val="zh-CN"/>
        </w:rPr>
        <w:t xml:space="preserve">用记录。</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符合性审查。依据招标文件的规定，由评委会从有效性、完整性和对招标文件的响应程度</w:t>
      </w:r>
      <w:r>
        <w:rPr>
          <w:rFonts w:hint="eastAsia" w:ascii="宋体" w:hAnsi="宋体"/>
          <w:color w:val="000000"/>
          <w:sz w:val="24"/>
          <w:highlight w:val="none"/>
        </w:rPr>
        <w:t xml:space="preserve">等方面对投标文件</w:t>
      </w:r>
      <w:r>
        <w:rPr>
          <w:rFonts w:hint="eastAsia" w:ascii="宋体" w:hAnsi="宋体"/>
          <w:color w:val="000000"/>
          <w:sz w:val="24"/>
          <w:highlight w:val="none"/>
          <w:lang w:val="zh-CN"/>
        </w:rPr>
        <w:t xml:space="preserve">进行审查，以确定是否对招标文件的实质性要求作出响应。</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.1.3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未通过资格审查或符合性审查的投标人，交易中心将</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苏采云系统告知</w:t>
      </w:r>
      <w:r>
        <w:rPr>
          <w:rFonts w:hint="eastAsia" w:ascii="宋体" w:hAnsi="宋体"/>
          <w:color w:val="000000"/>
          <w:sz w:val="24"/>
          <w:highlight w:val="none"/>
        </w:rPr>
        <w:t xml:space="preserve">其具体</w:t>
      </w:r>
      <w:r>
        <w:rPr>
          <w:rFonts w:hint="eastAsia" w:ascii="宋体" w:hAnsi="宋体"/>
          <w:color w:val="000000"/>
          <w:sz w:val="24"/>
          <w:highlight w:val="none"/>
          <w:lang w:val="zh-CN"/>
        </w:rPr>
        <w:t xml:space="preserve">原因，评标结束后</w:t>
      </w:r>
      <w:r>
        <w:rPr>
          <w:rFonts w:hint="eastAsia" w:ascii="宋体" w:hAnsi="宋体"/>
          <w:color w:val="000000"/>
          <w:sz w:val="24"/>
          <w:highlight w:val="none"/>
        </w:rPr>
        <w:t xml:space="preserve">不再接受有关询问</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w:t>
      </w:r>
      <w:r>
        <w:rPr>
          <w:rFonts w:hint="eastAsia" w:ascii="宋体" w:hAnsi="宋体"/>
          <w:color w:val="000000"/>
          <w:sz w:val="24"/>
          <w:highlight w:val="none"/>
        </w:rPr>
        <w:t xml:space="preserve">仅对</w:t>
      </w:r>
      <w:r>
        <w:rPr>
          <w:rFonts w:hint="eastAsia" w:ascii="宋体" w:hAnsi="宋体"/>
          <w:color w:val="000000"/>
          <w:sz w:val="24"/>
          <w:highlight w:val="none"/>
          <w:lang w:val="zh-CN"/>
        </w:rPr>
        <w:t xml:space="preserve">实质性响应招标文件要求</w:t>
      </w:r>
      <w:r>
        <w:rPr>
          <w:rFonts w:hint="eastAsia" w:ascii="宋体" w:hAnsi="宋体"/>
          <w:color w:val="000000"/>
          <w:sz w:val="24"/>
          <w:highlight w:val="none"/>
        </w:rPr>
        <w:t xml:space="preserve">的投标文件进行详细评审</w:t>
      </w:r>
      <w:r>
        <w:rPr>
          <w:rFonts w:hint="eastAsia" w:ascii="宋体" w:hAnsi="宋体"/>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color w:val="000000"/>
          <w:sz w:val="24"/>
          <w:highlight w:val="none"/>
        </w:rPr>
        <w:t xml:space="preserve">采购人</w:t>
      </w:r>
      <w:r>
        <w:rPr>
          <w:rFonts w:hint="eastAsia" w:ascii="宋体" w:hAnsi="宋体"/>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color w:val="000000"/>
          <w:sz w:val="24"/>
          <w:highlight w:val="none"/>
        </w:rPr>
        <w:t xml:space="preserve">由</w:t>
      </w:r>
      <w:r>
        <w:rPr>
          <w:rFonts w:hint="eastAsia" w:ascii="宋体" w:hAnsi="宋体"/>
          <w:color w:val="000000"/>
          <w:sz w:val="24"/>
          <w:highlight w:val="none"/>
          <w:lang w:val="zh-CN"/>
        </w:rPr>
        <w:t xml:space="preserve">评委会</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少数服从多数的原则作出结论。评委</w:t>
      </w:r>
      <w:r>
        <w:rPr>
          <w:rFonts w:hint="eastAsia" w:ascii="宋体" w:hAnsi="宋体"/>
          <w:color w:val="000000"/>
          <w:sz w:val="24"/>
          <w:highlight w:val="none"/>
        </w:rPr>
        <w:t xml:space="preserve">会认</w:t>
      </w:r>
      <w:r>
        <w:rPr>
          <w:rFonts w:hint="eastAsia" w:ascii="宋体" w:hAnsi="宋体"/>
          <w:color w:val="000000"/>
          <w:sz w:val="24"/>
          <w:highlight w:val="none"/>
          <w:lang w:val="zh-CN"/>
        </w:rPr>
        <w:t xml:space="preserve">定投标文件的响应性只根据投标文件本身的内容，而不寻求外部的证据。</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（1）投标文件中开标一览表内容与投标文件中相应内容不一致的，以开标一览表为准；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（2）大写金额和小写金额不一致的，以大写金额为准；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（3）单价金额小数点或者百分比有明显错位的，以开标一览表的总价为准，并修改单价；</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（4）总价金额与按单价汇总金额不一致的，以单价金额计算结果为准。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同时出现两种以上错误的，按照前款规定的顺序修正。</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bookmarkStart w:id="165" w:name="_Toc20823306"/>
      <w:r/>
      <w:bookmarkStart w:id="166" w:name="_Toc16938550"/>
      <w:r/>
      <w:bookmarkStart w:id="167" w:name="_Toc513029234"/>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投标人在开、评标全过程中应保持通讯畅通，及时登录苏采云系统查阅、答复相关信息，并安排专人与交易中心及评委会联系。</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w:t>
      </w:r>
      <w:bookmarkEnd w:id="165"/>
      <w:r/>
      <w:bookmarkEnd w:id="166"/>
      <w:r/>
      <w:bookmarkEnd w:id="167"/>
      <w:r>
        <w:rPr>
          <w:rFonts w:hint="eastAsia" w:ascii="方正楷体_GBK" w:hAnsi="方正楷体_GBK" w:eastAsia="方正楷体_GBK" w:cs="方正楷体_GBK"/>
          <w:color w:val="000000"/>
          <w:highlight w:val="none"/>
        </w:rPr>
        <w:t xml:space="preserve">5.无效投标和废标</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bookmarkStart w:id="168" w:name="_Toc20823307"/>
      <w:r/>
      <w:bookmarkStart w:id="169" w:name="_Toc120614219"/>
      <w:r/>
      <w:bookmarkStart w:id="170" w:name="_Toc513029235"/>
      <w:r/>
      <w:bookmarkStart w:id="171" w:name="_Toc16938551"/>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无效投标</w:t>
      </w:r>
      <w:r>
        <w:rPr>
          <w:rFonts w:hint="eastAsia" w:ascii="宋体" w:hAnsi="宋体"/>
          <w:color w:val="000000"/>
          <w:sz w:val="24"/>
          <w:highlight w:val="none"/>
        </w:rPr>
        <w:t xml:space="preserve">情形</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投标人在苏采云系统规定的时间内未成功解密电子投标文件。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投标人未按照招标文件要求上传电子投标文件。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投标人不具备招标文件中规定资格要求。</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投标人的报价超过了采购预算或最高限价</w:t>
      </w:r>
      <w:r>
        <w:rPr>
          <w:rFonts w:hint="eastAsia" w:ascii="宋体" w:hAnsi="宋体"/>
          <w:color w:val="000000"/>
          <w:sz w:val="24"/>
          <w:highlight w:val="none"/>
        </w:rPr>
        <w:t xml:space="preserve">或单价上限</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未通过符合性审查。</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.1.7</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不符合招标文件中实质性要求和条件（</w:t>
      </w:r>
      <w:r>
        <w:rPr>
          <w:rFonts w:hint="eastAsia" w:ascii="宋体" w:hAnsi="宋体"/>
          <w:b/>
          <w:bCs/>
          <w:color w:val="000000"/>
          <w:sz w:val="24"/>
          <w:highlight w:val="none"/>
          <w:lang w:val="zh-CN"/>
        </w:rPr>
        <w:t xml:space="preserve">本文件中斜体且有下划线部分，或者打“</w:t>
      </w:r>
      <w:r>
        <w:rPr>
          <w:rFonts w:hint="eastAsia" w:ascii="宋体" w:hAnsi="宋体"/>
          <w:b/>
          <w:bCs/>
          <w:color w:val="000000"/>
          <w:sz w:val="24"/>
          <w:highlight w:val="none"/>
        </w:rPr>
        <w:t xml:space="preserve">★</w:t>
      </w:r>
      <w:r>
        <w:rPr>
          <w:rFonts w:hint="eastAsia" w:ascii="宋体" w:hAnsi="宋体"/>
          <w:b/>
          <w:bCs/>
          <w:color w:val="000000"/>
          <w:sz w:val="24"/>
          <w:highlight w:val="none"/>
          <w:lang w:val="zh-CN"/>
        </w:rPr>
        <w:t xml:space="preserve">”内容为实质性要求和条件</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.1.8</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.1.9</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投标文件含有采购人不能接受的附加条件。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25.1.11 采购产品被财政部、国家发改委、生态环境部等列入“节能产品品目清单”强制采购范围，而投标人提供的产品不在强制采购范围内。</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25.1.12 投标文件未按照招标文件要求加盖电子公章。</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法律法规及本招标文件规定的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无效投标情形。</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废标</w:t>
      </w:r>
      <w:r>
        <w:rPr>
          <w:rFonts w:hint="eastAsia" w:ascii="宋体" w:hAnsi="宋体"/>
          <w:color w:val="000000"/>
          <w:sz w:val="24"/>
          <w:highlight w:val="none"/>
        </w:rPr>
        <w:t xml:space="preserve">情形</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符合资格条件的供应商或者对招标文件作实质响应的供应商不足三家。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出现影响采购公正的违法、违规行为。</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因重大变故采购任务取消。</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评委会认定招标文件存在歧义、重大缺陷导致评审工作无法进行。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25.2.5 因苏采云系统故障造成开标不成功。</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25.3 如出现投标截止时间后参加投标的供应商或者对招标文件作出实质性响应的供应商不足三家的情况，按政府采购相关规定执行。</w:t>
      </w:r>
      <w:r>
        <w:rPr>
          <w:rFonts w:hint="eastAsia" w:ascii="宋体" w:hAnsi="宋体"/>
          <w:color w:val="000000"/>
          <w:sz w:val="24"/>
          <w:highlight w:val="none"/>
          <w:lang w:val="zh-CN"/>
        </w:rPr>
      </w:r>
      <w:r/>
    </w:p>
    <w:p>
      <w:pPr>
        <w:pStyle w:val="881"/>
        <w:ind w:firstLine="420"/>
        <w:rPr>
          <w:rFonts w:ascii="宋体" w:hAnsi="宋体"/>
          <w:color w:val="000000"/>
          <w:sz w:val="24"/>
          <w:highlight w:val="none"/>
        </w:rPr>
      </w:pPr>
      <w:r>
        <w:rPr>
          <w:rFonts w:hint="eastAsia" w:ascii="宋体" w:hAnsi="宋体"/>
          <w:color w:val="000000"/>
          <w:sz w:val="24"/>
          <w:highlight w:val="none"/>
          <w:lang w:val="zh-CN"/>
        </w:rPr>
        <w:t xml:space="preserve">25.4 如出现25.2.1或25.3情形，招标活动失败，评审委员会</w:t>
      </w:r>
      <w:r>
        <w:rPr>
          <w:rFonts w:hint="eastAsia" w:ascii="宋体" w:hAnsi="宋体"/>
          <w:color w:val="000000"/>
          <w:sz w:val="24"/>
          <w:highlight w:val="none"/>
        </w:rPr>
        <w:t xml:space="preserve">应</w:t>
      </w:r>
      <w:r>
        <w:rPr>
          <w:rFonts w:hint="eastAsia" w:ascii="宋体" w:hAnsi="宋体"/>
          <w:color w:val="000000"/>
          <w:sz w:val="24"/>
          <w:highlight w:val="none"/>
          <w:lang w:bidi="ar"/>
        </w:rPr>
        <w:t xml:space="preserve">对</w:t>
      </w:r>
      <w:r>
        <w:rPr>
          <w:rFonts w:hint="eastAsia" w:ascii="宋体" w:hAnsi="宋体"/>
          <w:color w:val="000000"/>
          <w:sz w:val="24"/>
          <w:highlight w:val="none"/>
          <w:lang w:val="zh-CN" w:bidi="ar"/>
        </w:rPr>
        <w:t xml:space="preserve">招标文件是否存在不合理条款</w:t>
      </w:r>
      <w:r>
        <w:rPr>
          <w:rFonts w:hint="eastAsia" w:ascii="宋体" w:hAnsi="宋体"/>
          <w:color w:val="000000"/>
          <w:sz w:val="24"/>
          <w:highlight w:val="none"/>
          <w:lang w:bidi="ar"/>
        </w:rPr>
        <w:t xml:space="preserve">进行论证，并在评审报告中写明</w:t>
      </w:r>
      <w:r>
        <w:rPr>
          <w:rFonts w:hint="eastAsia" w:ascii="宋体" w:hAnsi="宋体"/>
          <w:color w:val="000000"/>
          <w:sz w:val="24"/>
          <w:highlight w:val="none"/>
          <w:lang w:val="zh-CN" w:bidi="ar"/>
        </w:rPr>
        <w:t xml:space="preserve">论证意见。</w:t>
      </w:r>
      <w:r>
        <w:rPr>
          <w:rFonts w:ascii="宋体" w:hAnsi="宋体"/>
          <w:color w:val="000000"/>
          <w:sz w:val="24"/>
          <w:highlight w:val="none"/>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68"/>
      <w:r/>
      <w:bookmarkEnd w:id="170"/>
      <w:r/>
      <w:bookmarkEnd w:id="171"/>
      <w:r>
        <w:rPr>
          <w:rFonts w:hint="eastAsia" w:ascii="方正黑体_GBK" w:hAnsi="方正黑体_GBK" w:eastAsia="方正黑体_GBK" w:cs="方正黑体_GBK"/>
          <w:b w:val="0"/>
          <w:bCs w:val="0"/>
          <w:color w:val="000000"/>
          <w:sz w:val="30"/>
          <w:szCs w:val="30"/>
          <w:highlight w:val="none"/>
        </w:rPr>
        <w:t xml:space="preserve">定标</w:t>
      </w:r>
      <w:bookmarkEnd w:id="169"/>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Start w:id="172" w:name="_Toc513029238"/>
      <w:r/>
      <w:bookmarkStart w:id="173" w:name="_Toc20823310"/>
      <w:r/>
      <w:bookmarkStart w:id="174" w:name="_Toc16938554"/>
      <w:r>
        <w:rPr>
          <w:rFonts w:hint="eastAsia" w:ascii="方正楷体_GBK" w:hAnsi="方正楷体_GBK" w:eastAsia="方正楷体_GBK" w:cs="方正楷体_GBK"/>
          <w:color w:val="000000"/>
          <w:highlight w:val="none"/>
        </w:rPr>
        <w:t xml:space="preserve">2</w:t>
      </w:r>
      <w:bookmarkEnd w:id="172"/>
      <w:r>
        <w:rPr>
          <w:rFonts w:hint="eastAsia" w:ascii="方正楷体_GBK" w:hAnsi="方正楷体_GBK" w:eastAsia="方正楷体_GBK" w:cs="方正楷体_GBK"/>
          <w:color w:val="000000"/>
          <w:highlight w:val="none"/>
        </w:rPr>
        <w:t xml:space="preserve">6.确定</w:t>
      </w:r>
      <w:bookmarkEnd w:id="173"/>
      <w:r/>
      <w:bookmarkEnd w:id="174"/>
      <w:r>
        <w:rPr>
          <w:rFonts w:hint="eastAsia" w:ascii="方正楷体_GBK" w:hAnsi="方正楷体_GBK" w:eastAsia="方正楷体_GBK" w:cs="方正楷体_GBK"/>
          <w:color w:val="000000"/>
          <w:highlight w:val="none"/>
        </w:rPr>
        <w:t xml:space="preserve">中标单位</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中标候选人的</w:t>
      </w:r>
      <w:r>
        <w:rPr>
          <w:rFonts w:hint="eastAsia" w:ascii="宋体" w:hAnsi="宋体"/>
          <w:color w:val="000000"/>
          <w:sz w:val="24"/>
          <w:highlight w:val="none"/>
        </w:rPr>
        <w:t xml:space="preserve">确定</w:t>
      </w:r>
      <w:r>
        <w:rPr>
          <w:rFonts w:hint="eastAsia" w:ascii="宋体" w:hAnsi="宋体"/>
          <w:color w:val="000000"/>
          <w:sz w:val="24"/>
          <w:highlight w:val="none"/>
          <w:lang w:val="zh-CN"/>
        </w:rPr>
        <w:t xml:space="preserve">原则和数量见招标文件第五章。 </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.2 按以下第（</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）种方式确定中标人：</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（1）评委会直接确定排名第一的中标候选人为中标人；</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（2）采购人在评委会推荐的中标候选人中按顺序确定中标人。</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按第二种方式确定中标人的，交易中心自评审结束之日起两个工作日内将评审报告送</w:t>
      </w:r>
      <w:r>
        <w:rPr>
          <w:rFonts w:hint="eastAsia" w:ascii="宋体" w:hAnsi="宋体"/>
          <w:color w:val="000000"/>
          <w:sz w:val="24"/>
          <w:highlight w:val="none"/>
        </w:rPr>
        <w:t xml:space="preserve">达</w:t>
      </w:r>
      <w:r>
        <w:rPr>
          <w:rFonts w:hint="eastAsia" w:ascii="宋体" w:hAnsi="宋体"/>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.3 交易中心将在“江苏政府采购网”发布中标公告，公告期限为1个工作日。</w:t>
      </w:r>
      <w:r>
        <w:rPr>
          <w:rFonts w:hint="eastAsia" w:ascii="宋体" w:hAnsi="宋体"/>
          <w:color w:val="000000"/>
          <w:sz w:val="24"/>
          <w:highlight w:val="none"/>
          <w:lang w:val="zh-CN"/>
        </w:rPr>
      </w:r>
      <w:r/>
    </w:p>
    <w:p>
      <w:pPr>
        <w:pStyle w:val="881"/>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若有充分证据证明中标人</w:t>
      </w:r>
      <w:r>
        <w:rPr>
          <w:rFonts w:hint="eastAsia" w:ascii="宋体" w:hAnsi="宋体"/>
          <w:b/>
          <w:bCs/>
          <w:color w:val="000000"/>
          <w:sz w:val="24"/>
          <w:highlight w:val="none"/>
        </w:rPr>
        <w:t xml:space="preserve">有</w:t>
      </w:r>
      <w:r>
        <w:rPr>
          <w:rFonts w:hint="eastAsia" w:ascii="宋体" w:hAnsi="宋体"/>
          <w:b/>
          <w:bCs/>
          <w:color w:val="000000"/>
          <w:sz w:val="24"/>
          <w:highlight w:val="none"/>
          <w:lang w:val="zh-CN"/>
        </w:rPr>
        <w:t xml:space="preserve">下列情况之一的，一经查实将被取消中标资格：</w:t>
      </w:r>
      <w:r>
        <w:rPr>
          <w:rFonts w:hint="eastAsia" w:ascii="宋体" w:hAnsi="宋体"/>
          <w:b/>
          <w:bCs/>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提供虚假材料谋取中标。</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向评审专家、采购人或交易中心工作人员行贿或者提供其他不正当利益。</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与其他供应商、评审专家、采购人或交易中心工作人员恶意串通。</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属于本文件规定的无效</w:t>
      </w:r>
      <w:r>
        <w:rPr>
          <w:rFonts w:hint="eastAsia" w:ascii="宋体" w:hAnsi="宋体"/>
          <w:color w:val="000000"/>
          <w:sz w:val="24"/>
          <w:highlight w:val="none"/>
        </w:rPr>
        <w:t xml:space="preserve">投标情形</w:t>
      </w:r>
      <w:r>
        <w:rPr>
          <w:rFonts w:hint="eastAsia" w:ascii="宋体" w:hAnsi="宋体"/>
          <w:color w:val="000000"/>
          <w:sz w:val="24"/>
          <w:highlight w:val="none"/>
          <w:lang w:val="zh-CN"/>
        </w:rPr>
        <w:t xml:space="preserve">，但在评标过程中未被评委会发现。</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采取不正当手段诋毁、排挤其他供应商。</w:t>
      </w:r>
      <w:r>
        <w:rPr>
          <w:rFonts w:hint="eastAsia" w:ascii="宋体" w:hAnsi="宋体"/>
          <w:color w:val="000000"/>
          <w:sz w:val="24"/>
          <w:highlight w:val="none"/>
          <w:lang w:val="zh-CN"/>
        </w:rPr>
      </w:r>
      <w:r/>
    </w:p>
    <w:p>
      <w:pPr>
        <w:pStyle w:val="881"/>
        <w:ind w:firstLine="420"/>
        <w:rPr>
          <w:rFonts w:hint="eastAsia" w:ascii="宋体" w:hAnsi="宋体"/>
          <w:b/>
          <w:bCs/>
          <w:color w:val="000000"/>
          <w:sz w:val="24"/>
          <w:highlight w:val="none"/>
          <w:lang w:val="zh-CN"/>
        </w:rPr>
      </w:pPr>
      <w:r/>
      <w:bookmarkStart w:id="175" w:name="_Toc200451960"/>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有下列情形之一的视为投标人串通投标，投标无效：</w:t>
      </w:r>
      <w:r>
        <w:rPr>
          <w:rFonts w:hint="eastAsia" w:ascii="宋体" w:hAnsi="宋体"/>
          <w:b/>
          <w:bCs/>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End w:id="175"/>
      <w:r>
        <w:rPr>
          <w:rFonts w:hint="eastAsia" w:ascii="方正楷体_GBK" w:hAnsi="方正楷体_GBK" w:eastAsia="方正楷体_GBK" w:cs="方正楷体_GBK"/>
          <w:color w:val="000000"/>
          <w:highlight w:val="none"/>
        </w:rPr>
        <w:t xml:space="preserve">27.中标通知书</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.l 中标结果确定后，交易中心将向中标人发出《中标通知书》。中标人</w:t>
      </w:r>
      <w:r>
        <w:rPr>
          <w:rFonts w:hint="eastAsia" w:ascii="宋体" w:hAnsi="宋体"/>
          <w:color w:val="000000"/>
          <w:sz w:val="24"/>
          <w:highlight w:val="none"/>
        </w:rPr>
        <w:t xml:space="preserve">可</w:t>
      </w:r>
      <w:r>
        <w:rPr>
          <w:rFonts w:hint="eastAsia" w:ascii="宋体" w:hAnsi="宋体"/>
          <w:color w:val="000000"/>
          <w:sz w:val="24"/>
          <w:highlight w:val="none"/>
          <w:lang w:val="zh-CN"/>
        </w:rPr>
        <w:t xml:space="preserve">在中标结果公告届满之日起三十日内，登录苏采云系统下载。</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中标通知书</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highlight w:val="none"/>
          <w:lang w:val="zh-CN"/>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bookmarkStart w:id="176" w:name="_Toc120614220"/>
      <w:r/>
      <w:bookmarkStart w:id="177" w:name="_Toc513029236"/>
      <w:r/>
      <w:bookmarkStart w:id="178" w:name="_Toc20823308"/>
      <w:r/>
      <w:bookmarkStart w:id="179" w:name="_Toc16938552"/>
      <w:r>
        <w:rPr>
          <w:rFonts w:hint="eastAsia" w:ascii="方正黑体_GBK" w:hAnsi="方正黑体_GBK" w:eastAsia="方正黑体_GBK" w:cs="方正黑体_GBK"/>
          <w:b w:val="0"/>
          <w:bCs w:val="0"/>
          <w:color w:val="000000"/>
          <w:sz w:val="30"/>
          <w:szCs w:val="30"/>
          <w:highlight w:val="none"/>
        </w:rPr>
        <w:t xml:space="preserve">七、授予合同</w:t>
      </w:r>
      <w:bookmarkEnd w:id="176"/>
      <w:r>
        <w:rPr>
          <w:rFonts w:hint="eastAsia"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End w:id="177"/>
      <w:r/>
      <w:bookmarkEnd w:id="178"/>
      <w:r/>
      <w:bookmarkEnd w:id="179"/>
      <w:r/>
      <w:bookmarkStart w:id="180" w:name="_Toc513029237"/>
      <w:r/>
      <w:bookmarkStart w:id="181" w:name="_Toc16938553"/>
      <w:r/>
      <w:bookmarkStart w:id="182" w:name="_Toc20823309"/>
      <w:r>
        <w:rPr>
          <w:rFonts w:hint="eastAsia" w:ascii="方正楷体_GBK" w:hAnsi="方正楷体_GBK" w:eastAsia="方正楷体_GBK" w:cs="方正楷体_GBK"/>
          <w:color w:val="000000"/>
          <w:highlight w:val="none"/>
        </w:rPr>
        <w:t xml:space="preserve">28.签订合同</w:t>
      </w:r>
      <w:r>
        <w:rPr>
          <w:rFonts w:hint="eastAsia" w:ascii="方正楷体_GBK" w:hAnsi="方正楷体_GBK" w:eastAsia="方正楷体_GBK" w:cs="方正楷体_GBK"/>
          <w:color w:val="000000"/>
          <w:highlight w:val="none"/>
        </w:rPr>
      </w:r>
      <w:r/>
    </w:p>
    <w:p>
      <w:pPr>
        <w:pStyle w:val="881"/>
        <w:ind w:firstLine="420"/>
        <w:rPr>
          <w:rFonts w:ascii="宋体" w:hAnsi="宋体"/>
          <w:color w:val="000000"/>
          <w:sz w:val="24"/>
          <w:highlight w:val="none"/>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.l</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color w:val="000000"/>
          <w:sz w:val="24"/>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.2 招标文件、中标人的投标文件及招标过程中有关澄清、承诺文件均作为合同附件。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28</w:t>
      </w:r>
      <w:r>
        <w:rPr>
          <w:rFonts w:hint="eastAsia" w:ascii="宋体" w:hAnsi="宋体"/>
          <w:color w:val="000000"/>
          <w:sz w:val="24"/>
          <w:highlight w:val="none"/>
          <w:lang w:val="zh-CN"/>
        </w:rPr>
        <w:t xml:space="preserve">.4 中标人因自身原因拒绝与采购人签订合同的，不得参加采购人</w:t>
      </w:r>
      <w:r>
        <w:rPr>
          <w:rFonts w:hint="eastAsia" w:ascii="宋体" w:hAnsi="宋体"/>
          <w:color w:val="000000"/>
          <w:sz w:val="24"/>
          <w:highlight w:val="none"/>
        </w:rPr>
        <w:t xml:space="preserve">重新组织的</w:t>
      </w:r>
      <w:r>
        <w:rPr>
          <w:rFonts w:hint="eastAsia" w:ascii="宋体" w:hAnsi="宋体"/>
          <w:color w:val="000000"/>
          <w:sz w:val="24"/>
          <w:highlight w:val="none"/>
          <w:lang w:val="zh-CN"/>
        </w:rPr>
        <w:t xml:space="preserve">采购活动</w:t>
      </w:r>
      <w:r>
        <w:rPr>
          <w:rFonts w:hint="eastAsia"/>
          <w:color w:val="000000"/>
          <w:highlight w:val="none"/>
        </w:rPr>
        <w:t xml:space="preserve">，</w:t>
      </w:r>
      <w:r>
        <w:rPr>
          <w:rFonts w:hint="eastAsia" w:ascii="宋体" w:hAnsi="宋体"/>
          <w:color w:val="000000"/>
          <w:sz w:val="24"/>
          <w:highlight w:val="none"/>
        </w:rPr>
        <w:t xml:space="preserve">且将可能被拒绝参加该采购人</w:t>
      </w:r>
      <w:r>
        <w:rPr>
          <w:rFonts w:hint="eastAsia" w:ascii="宋体" w:hAnsi="宋体"/>
          <w:color w:val="000000"/>
          <w:sz w:val="24"/>
          <w:highlight w:val="none"/>
          <w:lang w:val="zh-CN"/>
        </w:rPr>
        <w:t xml:space="preserve">一年内</w:t>
      </w:r>
      <w:r>
        <w:rPr>
          <w:rFonts w:hint="eastAsia" w:ascii="宋体" w:hAnsi="宋体"/>
          <w:color w:val="000000"/>
          <w:sz w:val="24"/>
          <w:highlight w:val="none"/>
        </w:rPr>
        <w:t xml:space="preserve">的其他</w:t>
      </w:r>
      <w:r>
        <w:rPr>
          <w:rFonts w:hint="eastAsia" w:ascii="宋体" w:hAnsi="宋体"/>
          <w:color w:val="000000"/>
          <w:sz w:val="24"/>
          <w:highlight w:val="none"/>
          <w:lang w:val="zh-CN"/>
        </w:rPr>
        <w:t xml:space="preserve">政府采购活动。</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29.标的物的追加</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29</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10%。</w:t>
      </w:r>
      <w:r>
        <w:rPr>
          <w:rFonts w:hint="eastAsia" w:ascii="宋体" w:hAnsi="宋体"/>
          <w:color w:val="000000"/>
          <w:sz w:val="24"/>
          <w:highlight w:val="none"/>
          <w:lang w:val="zh-CN"/>
        </w:rPr>
      </w:r>
      <w:r/>
    </w:p>
    <w:p>
      <w:pPr>
        <w:pStyle w:val="885"/>
        <w:ind w:firstLine="422"/>
        <w:spacing w:before="0" w:after="0" w:line="240" w:lineRule="auto"/>
        <w:rPr>
          <w:rFonts w:hint="eastAsia" w:ascii="方正楷体_GBK" w:hAnsi="方正楷体_GBK" w:eastAsia="方正楷体_GBK" w:cs="方正楷体_GBK"/>
          <w:color w:val="000000"/>
          <w:highlight w:val="none"/>
        </w:rPr>
      </w:pPr>
      <w:r/>
      <w:bookmarkEnd w:id="180"/>
      <w:r/>
      <w:bookmarkEnd w:id="181"/>
      <w:r/>
      <w:bookmarkEnd w:id="182"/>
      <w:r>
        <w:rPr>
          <w:rFonts w:hint="eastAsia" w:ascii="方正楷体_GBK" w:hAnsi="方正楷体_GBK" w:eastAsia="方正楷体_GBK" w:cs="方正楷体_GBK"/>
          <w:color w:val="000000"/>
          <w:highlight w:val="none"/>
        </w:rPr>
        <w:t xml:space="preserve">30.政府采购履约资金扶持政策</w:t>
      </w:r>
      <w:r>
        <w:rPr>
          <w:rFonts w:hint="eastAsia"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30.1 </w:t>
      </w:r>
      <w:r>
        <w:rPr>
          <w:rFonts w:hint="eastAsia" w:ascii="宋体" w:hAnsi="宋体"/>
          <w:color w:val="000000"/>
          <w:sz w:val="24"/>
          <w:highlight w:val="none"/>
          <w:lang w:val="zh-CN"/>
        </w:rPr>
        <w:t xml:space="preserve">中标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w:t>
      </w:r>
      <w:r>
        <w:rPr>
          <w:rFonts w:hint="eastAsia" w:ascii="宋体" w:hAnsi="宋体"/>
          <w:color w:val="000000"/>
          <w:sz w:val="24"/>
          <w:highlight w:val="none"/>
          <w:lang w:val="zh-CN"/>
        </w:rPr>
        <w:t xml:space="preserve">南京市公共资源交易</w:t>
      </w:r>
      <w:r>
        <w:rPr>
          <w:rFonts w:hint="eastAsia" w:ascii="宋体" w:hAnsi="宋体"/>
          <w:color w:val="000000"/>
          <w:sz w:val="24"/>
          <w:highlight w:val="none"/>
        </w:rPr>
        <w:t xml:space="preserve">平台</w:t>
      </w:r>
      <w:r>
        <w:rPr>
          <w:rFonts w:hint="eastAsia" w:ascii="宋体" w:hAnsi="宋体"/>
          <w:color w:val="000000"/>
          <w:sz w:val="24"/>
          <w:highlight w:val="none"/>
          <w:lang w:val="zh-CN"/>
        </w:rPr>
        <w:t xml:space="preserve">网站“小企业融资平台”，</w:t>
      </w:r>
      <w:r>
        <w:rPr>
          <w:rFonts w:hint="eastAsia" w:ascii="宋体" w:hAnsi="宋体"/>
          <w:color w:val="000000"/>
          <w:sz w:val="24"/>
          <w:highlight w:val="none"/>
        </w:rPr>
        <w:t xml:space="preserve">选择相应的金融机构</w:t>
      </w:r>
      <w:r>
        <w:rPr>
          <w:rFonts w:hint="eastAsia" w:ascii="宋体" w:hAnsi="宋体"/>
          <w:color w:val="000000"/>
          <w:sz w:val="24"/>
          <w:highlight w:val="none"/>
          <w:lang w:val="zh-CN"/>
        </w:rPr>
        <w:t xml:space="preserve">办理融资贷款。</w:t>
      </w:r>
      <w:r>
        <w:rPr>
          <w:rFonts w:hint="eastAsia" w:ascii="宋体" w:hAnsi="宋体"/>
          <w:color w:val="000000"/>
          <w:sz w:val="24"/>
          <w:highlight w:val="none"/>
          <w:lang w:val="zh-CN"/>
        </w:rPr>
      </w:r>
      <w:r/>
    </w:p>
    <w:p>
      <w:pPr>
        <w:pStyle w:val="881"/>
        <w:ind w:firstLine="420"/>
        <w:jc w:val="left"/>
        <w:rPr>
          <w:rFonts w:hint="eastAsia"/>
          <w:color w:val="000000"/>
          <w:highlight w:val="none"/>
          <w:lang w:val="zh-CN"/>
        </w:rPr>
      </w:pPr>
      <w:r>
        <w:rPr>
          <w:rFonts w:hint="eastAsia" w:ascii="宋体" w:hAnsi="宋体"/>
          <w:color w:val="000000"/>
          <w:sz w:val="24"/>
          <w:highlight w:val="none"/>
        </w:rPr>
        <w:t xml:space="preserve">30.2 依据《关于在全省政府采购领域推行电子履约保函（保险）的通知》（苏财购</w:t>
      </w:r>
      <w:r>
        <w:rPr>
          <w:rFonts w:hint="eastAsia" w:ascii="宋体" w:hAnsi="宋体" w:cs="宋体"/>
          <w:color w:val="000000"/>
          <w:sz w:val="24"/>
          <w:szCs w:val="24"/>
          <w:highlight w:val="none"/>
        </w:rPr>
        <w:t xml:space="preserve">〔2023〕</w:t>
      </w:r>
      <w:r>
        <w:rPr>
          <w:rFonts w:hint="eastAsia" w:ascii="宋体" w:hAnsi="宋体"/>
          <w:color w:val="000000"/>
          <w:sz w:val="24"/>
          <w:highlight w:val="none"/>
        </w:rPr>
        <w:t xml:space="preserve">150号），需要缴纳履约保证金的，</w:t>
      </w:r>
      <w:r>
        <w:rPr>
          <w:rFonts w:hint="eastAsia" w:ascii="宋体" w:hAnsi="宋体"/>
          <w:color w:val="000000"/>
          <w:sz w:val="24"/>
          <w:highlight w:val="none"/>
          <w:lang w:val="zh-CN"/>
        </w:rPr>
        <w:t xml:space="preserve">中标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可</w:t>
      </w:r>
      <w:r>
        <w:rPr>
          <w:rFonts w:hint="eastAsia" w:ascii="宋体" w:hAnsi="宋体"/>
          <w:color w:val="000000"/>
          <w:sz w:val="24"/>
          <w:highlight w:val="none"/>
        </w:rPr>
        <w:t xml:space="preserve">通过江苏政府采购网“政府采购电子履约保函（保险）综合服务平台”线上办理履约保函（保险）</w:t>
      </w:r>
      <w:r>
        <w:rPr>
          <w:rFonts w:hint="eastAsia" w:ascii="宋体" w:hAnsi="宋体"/>
          <w:color w:val="000000"/>
          <w:sz w:val="24"/>
          <w:highlight w:val="none"/>
          <w:lang w:val="zh-CN"/>
        </w:rPr>
        <w:t xml:space="preserve">。</w:t>
      </w:r>
      <w:r>
        <w:rPr>
          <w:rFonts w:hint="eastAsia"/>
          <w:color w:val="000000"/>
          <w:highlight w:val="none"/>
          <w:lang w:val="zh-CN"/>
        </w:rPr>
      </w:r>
      <w:r/>
    </w:p>
    <w:p>
      <w:pPr>
        <w:pStyle w:val="884"/>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八、质疑</w:t>
      </w:r>
      <w:r>
        <w:rPr>
          <w:rFonts w:hint="eastAsia" w:ascii="方正黑体_GBK" w:hAnsi="方正黑体_GBK" w:eastAsia="方正黑体_GBK" w:cs="方正黑体_GBK"/>
          <w:b w:val="0"/>
          <w:bCs w:val="0"/>
          <w:color w:val="000000"/>
          <w:sz w:val="30"/>
          <w:szCs w:val="3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31.</w:t>
      </w:r>
      <w:r>
        <w:rPr>
          <w:rFonts w:hint="eastAsia" w:ascii="宋体" w:hAnsi="宋体"/>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32.</w:t>
      </w:r>
      <w:r>
        <w:rPr>
          <w:rFonts w:hint="eastAsia" w:ascii="宋体" w:hAnsi="宋体"/>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highlight w:val="none"/>
        </w:rPr>
        <w:t xml:space="preserve">按照第3</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条</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第35</w:t>
      </w:r>
      <w:r>
        <w:rPr>
          <w:rFonts w:hint="eastAsia" w:ascii="宋体" w:hAnsi="宋体"/>
          <w:color w:val="000000"/>
          <w:sz w:val="24"/>
          <w:highlight w:val="none"/>
          <w:lang w:val="zh-CN"/>
        </w:rPr>
        <w:t xml:space="preserve">条</w:t>
      </w:r>
      <w:r>
        <w:rPr>
          <w:rFonts w:hint="eastAsia" w:ascii="宋体" w:hAnsi="宋体"/>
          <w:color w:val="000000"/>
          <w:sz w:val="24"/>
          <w:highlight w:val="none"/>
        </w:rPr>
        <w:t xml:space="preserve">之</w:t>
      </w:r>
      <w:r>
        <w:rPr>
          <w:rFonts w:hint="eastAsia" w:ascii="宋体" w:hAnsi="宋体"/>
          <w:color w:val="000000"/>
          <w:sz w:val="24"/>
          <w:highlight w:val="none"/>
          <w:lang w:val="zh-CN"/>
        </w:rPr>
        <w:t xml:space="preserve">规定以书面形式向采购人或交易中心提出质疑。</w:t>
      </w:r>
      <w:r>
        <w:rPr>
          <w:rFonts w:hint="eastAsia" w:ascii="宋体" w:hAnsi="宋体"/>
          <w:b/>
          <w:bCs/>
          <w:color w:val="000000"/>
          <w:sz w:val="24"/>
          <w:highlight w:val="none"/>
          <w:lang w:val="zh-CN"/>
        </w:rPr>
        <w:t xml:space="preserve">上述应知其权益受到损害之日是指</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2.1 对采购文件提出质疑的，为收到采购文件之日或者采购文件公告期限届满之日。</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2.2 对采购过程提出质疑的，为各采购程序环节结束之日。</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2.3 对中标或者成交结果提出质疑的，为中标或者成交结果公告期限届满之日。</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格式和内容填写。</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35.</w:t>
      </w:r>
      <w:r>
        <w:rPr>
          <w:rFonts w:hint="eastAsia" w:ascii="宋体" w:hAnsi="宋体"/>
          <w:b/>
          <w:bCs/>
          <w:color w:val="000000"/>
          <w:sz w:val="24"/>
          <w:highlight w:val="none"/>
          <w:lang w:val="zh-CN"/>
        </w:rPr>
        <w:t xml:space="preserve">供应商（含潜在供应商）对采购方式、采购需求、供应商资格条件、评标方法和评标标准、合同文本的</w:t>
      </w:r>
      <w:r>
        <w:rPr>
          <w:rFonts w:hint="eastAsia" w:ascii="宋体" w:hAnsi="宋体"/>
          <w:b/>
          <w:bCs/>
          <w:color w:val="000000"/>
          <w:sz w:val="24"/>
          <w:highlight w:val="none"/>
        </w:rPr>
        <w:t xml:space="preserve">询问或</w:t>
      </w:r>
      <w:r>
        <w:rPr>
          <w:rFonts w:hint="eastAsia" w:ascii="宋体" w:hAnsi="宋体"/>
          <w:b/>
          <w:bCs/>
          <w:color w:val="000000"/>
          <w:sz w:val="24"/>
          <w:highlight w:val="none"/>
          <w:lang w:val="zh-CN"/>
        </w:rPr>
        <w:t xml:space="preserve">质疑向采购人提出，由采购人负责答复。</w:t>
      </w:r>
      <w:r>
        <w:rPr>
          <w:rFonts w:hint="eastAsia" w:ascii="宋体" w:hAnsi="宋体"/>
          <w:color w:val="000000"/>
          <w:sz w:val="24"/>
          <w:highlight w:val="none"/>
          <w:lang w:val="zh-CN"/>
        </w:rPr>
        <w:t xml:space="preserve">供应商对</w:t>
      </w:r>
      <w:r>
        <w:rPr>
          <w:rFonts w:hint="eastAsia" w:ascii="宋体" w:hAnsi="宋体"/>
          <w:color w:val="000000"/>
          <w:sz w:val="24"/>
          <w:highlight w:val="none"/>
        </w:rPr>
        <w:t xml:space="preserve">采购过程、采购结果</w:t>
      </w:r>
      <w:r>
        <w:rPr>
          <w:rFonts w:hint="eastAsia" w:ascii="宋体" w:hAnsi="宋体"/>
          <w:color w:val="000000"/>
          <w:sz w:val="24"/>
          <w:highlight w:val="none"/>
          <w:lang w:val="zh-CN"/>
        </w:rPr>
        <w:t xml:space="preserve">的询问</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质疑向交易中心提出，由交易中心负责答复。</w:t>
      </w:r>
      <w:r>
        <w:rPr>
          <w:rFonts w:hint="eastAsia" w:ascii="宋体" w:hAnsi="宋体"/>
          <w:color w:val="000000"/>
          <w:sz w:val="24"/>
          <w:highlight w:val="none"/>
          <w:lang w:val="zh-CN"/>
        </w:rPr>
      </w:r>
      <w:r/>
    </w:p>
    <w:p>
      <w:pPr>
        <w:pStyle w:val="881"/>
        <w:ind w:firstLine="422"/>
        <w:rPr>
          <w:rFonts w:hint="eastAsia" w:ascii="宋体" w:hAnsi="宋体"/>
          <w:b/>
          <w:bCs/>
          <w:color w:val="000000"/>
          <w:sz w:val="24"/>
          <w:highlight w:val="none"/>
          <w:lang w:val="zh-CN"/>
        </w:rPr>
      </w:pPr>
      <w:r>
        <w:rPr>
          <w:rFonts w:hint="eastAsia" w:ascii="宋体" w:hAnsi="宋体"/>
          <w:b/>
          <w:bCs/>
          <w:color w:val="000000"/>
          <w:sz w:val="24"/>
          <w:highlight w:val="none"/>
          <w:lang w:val="zh-CN"/>
        </w:rPr>
        <w:t xml:space="preserve">采购人《质疑函》接收人及联系方式见</w:t>
      </w:r>
      <w:r>
        <w:rPr>
          <w:rFonts w:hint="eastAsia" w:ascii="宋体" w:hAnsi="宋体"/>
          <w:b/>
          <w:bCs/>
          <w:color w:val="000000"/>
          <w:sz w:val="24"/>
          <w:highlight w:val="none"/>
        </w:rPr>
        <w:t xml:space="preserve">招标</w:t>
      </w:r>
      <w:r>
        <w:rPr>
          <w:rFonts w:hint="eastAsia" w:ascii="宋体" w:hAnsi="宋体"/>
          <w:b/>
          <w:bCs/>
          <w:color w:val="000000"/>
          <w:sz w:val="24"/>
          <w:highlight w:val="none"/>
          <w:lang w:val="zh-CN"/>
        </w:rPr>
        <w:t xml:space="preserve">文件第一章。</w:t>
      </w:r>
      <w:r>
        <w:rPr>
          <w:rFonts w:hint="eastAsia" w:ascii="宋体" w:hAnsi="宋体"/>
          <w:b/>
          <w:bCs/>
          <w:color w:val="000000"/>
          <w:sz w:val="24"/>
          <w:highlight w:val="none"/>
          <w:lang w:val="zh-CN"/>
        </w:rPr>
      </w:r>
      <w:r/>
    </w:p>
    <w:p>
      <w:pPr>
        <w:pStyle w:val="881"/>
        <w:ind w:firstLine="420"/>
        <w:rPr>
          <w:rFonts w:hint="eastAsia" w:ascii="宋体" w:hAnsi="宋体"/>
          <w:color w:val="000000"/>
          <w:sz w:val="24"/>
          <w:highlight w:val="none"/>
        </w:rPr>
      </w:pPr>
      <w:r>
        <w:rPr>
          <w:rFonts w:hint="eastAsia" w:ascii="宋体" w:hAnsi="宋体"/>
          <w:color w:val="000000"/>
          <w:sz w:val="24"/>
          <w:highlight w:val="none"/>
          <w:lang w:val="zh-CN"/>
        </w:rPr>
        <w:t xml:space="preserve">交易中心《质疑函》接收部门为政府</w:t>
      </w:r>
      <w:r>
        <w:rPr>
          <w:rFonts w:hint="eastAsia" w:ascii="宋体" w:hAnsi="宋体"/>
          <w:color w:val="000000"/>
          <w:sz w:val="24"/>
          <w:highlight w:val="none"/>
        </w:rPr>
        <w:t xml:space="preserve">集中</w:t>
      </w:r>
      <w:r>
        <w:rPr>
          <w:rFonts w:hint="eastAsia" w:ascii="宋体" w:hAnsi="宋体"/>
          <w:color w:val="000000"/>
          <w:sz w:val="24"/>
          <w:highlight w:val="none"/>
          <w:lang w:val="zh-CN"/>
        </w:rPr>
        <w:t xml:space="preserve">采购</w:t>
      </w:r>
      <w:r>
        <w:rPr>
          <w:rFonts w:hint="eastAsia" w:ascii="宋体" w:hAnsi="宋体"/>
          <w:color w:val="000000"/>
          <w:sz w:val="24"/>
          <w:highlight w:val="none"/>
        </w:rPr>
        <w:t xml:space="preserve">处</w:t>
      </w:r>
      <w:r>
        <w:rPr>
          <w:rFonts w:hint="eastAsia" w:ascii="宋体" w:hAnsi="宋体"/>
          <w:color w:val="000000"/>
          <w:sz w:val="24"/>
          <w:highlight w:val="none"/>
          <w:lang w:val="zh-CN"/>
        </w:rPr>
        <w:t xml:space="preserve">。收件人：南京市公共资源交易中心政府</w:t>
      </w:r>
      <w:r>
        <w:rPr>
          <w:rFonts w:hint="eastAsia" w:ascii="宋体" w:hAnsi="宋体"/>
          <w:color w:val="000000"/>
          <w:sz w:val="24"/>
          <w:highlight w:val="none"/>
        </w:rPr>
        <w:t xml:space="preserve">集中</w:t>
      </w:r>
      <w:r>
        <w:rPr>
          <w:rFonts w:hint="eastAsia" w:ascii="宋体" w:hAnsi="宋体"/>
          <w:color w:val="000000"/>
          <w:sz w:val="24"/>
          <w:highlight w:val="none"/>
          <w:lang w:val="zh-CN"/>
        </w:rPr>
        <w:t xml:space="preserve">采购</w:t>
      </w:r>
      <w:r>
        <w:rPr>
          <w:rFonts w:hint="eastAsia" w:ascii="宋体" w:hAnsi="宋体"/>
          <w:color w:val="000000"/>
          <w:sz w:val="24"/>
          <w:highlight w:val="none"/>
        </w:rPr>
        <w:t xml:space="preserve">处</w:t>
      </w:r>
      <w:r>
        <w:rPr>
          <w:rFonts w:hint="eastAsia" w:ascii="宋体" w:hAnsi="宋体"/>
          <w:color w:val="000000"/>
          <w:sz w:val="24"/>
          <w:highlight w:val="none"/>
          <w:lang w:val="zh-CN"/>
        </w:rPr>
        <w:t xml:space="preserve">，地址：南京市江东中路265号南京市公共资源交易中心北门，联系电话：025-68505926。</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81"/>
        <w:ind w:firstLine="422"/>
        <w:rPr>
          <w:rFonts w:hint="eastAsia" w:ascii="宋体" w:hAnsi="宋体"/>
          <w:b/>
          <w:bCs/>
          <w:color w:val="000000"/>
          <w:sz w:val="24"/>
          <w:highlight w:val="none"/>
          <w:lang w:val="zh-CN"/>
        </w:rPr>
      </w:pPr>
      <w:r>
        <w:rPr>
          <w:rFonts w:hint="eastAsia" w:ascii="宋体" w:hAnsi="宋体"/>
          <w:b/>
          <w:bCs/>
          <w:color w:val="000000"/>
          <w:sz w:val="24"/>
          <w:highlight w:val="none"/>
        </w:rPr>
        <w:t xml:space="preserve">由采购人负责答复的质疑，采购人将《质疑答复函》抄送交易中心。</w:t>
      </w:r>
      <w:r>
        <w:rPr>
          <w:rFonts w:hint="eastAsia" w:ascii="宋体" w:hAnsi="宋体"/>
          <w:b/>
          <w:bCs/>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以下情形的质疑不予受理：</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6.1 内容不符合《政府采购质疑和投诉办法》第十二条规定的质疑。</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6.2 超出政府采购法定期限的质疑。</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6.3 以传真、电子邮件等方式递交的非原件形式的质疑。</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6.4 未参加采购活动或在采购活动中自身权益未受到损害的供应商所提出的质疑。</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6.5 供应商组成联合体参加采购活动，联合体中任何一方或多方未按要求签字</w:t>
      </w:r>
      <w:r>
        <w:rPr>
          <w:rFonts w:hint="eastAsia" w:ascii="宋体" w:hAnsi="宋体"/>
          <w:color w:val="000000"/>
          <w:sz w:val="24"/>
          <w:highlight w:val="none"/>
        </w:rPr>
        <w:t xml:space="preserve">或签章</w:t>
      </w:r>
      <w:r>
        <w:rPr>
          <w:rFonts w:hint="eastAsia" w:ascii="宋体" w:hAnsi="宋体"/>
          <w:color w:val="000000"/>
          <w:sz w:val="24"/>
          <w:highlight w:val="none"/>
          <w:lang w:val="zh-CN"/>
        </w:rPr>
        <w:t xml:space="preserve">、加盖公章的质疑。</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法律法规规定的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不予受理情形。</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37.</w:t>
      </w:r>
      <w:r>
        <w:rPr>
          <w:rFonts w:hint="eastAsia" w:ascii="宋体" w:hAnsi="宋体"/>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color w:val="000000"/>
          <w:sz w:val="24"/>
          <w:highlight w:val="none"/>
          <w:lang w:val="zh-CN"/>
        </w:rPr>
      </w:r>
      <w:r/>
    </w:p>
    <w:p>
      <w:pPr>
        <w:pStyle w:val="884"/>
        <w:ind w:firstLine="465"/>
        <w:spacing w:before="145" w:after="145" w:line="240" w:lineRule="auto"/>
        <w:rPr>
          <w:rFonts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九、政策功能落实</w:t>
      </w:r>
      <w:r>
        <w:rPr>
          <w:rFonts w:ascii="方正黑体_GBK" w:hAnsi="方正黑体_GBK" w:eastAsia="方正黑体_GBK" w:cs="方正黑体_GBK"/>
          <w:b w:val="0"/>
          <w:bCs w:val="0"/>
          <w:color w:val="000000"/>
          <w:sz w:val="30"/>
          <w:szCs w:val="30"/>
          <w:highlight w:val="none"/>
        </w:rPr>
      </w:r>
      <w:r/>
    </w:p>
    <w:p>
      <w:pPr>
        <w:pStyle w:val="885"/>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38.促进中小企业发展</w:t>
      </w:r>
      <w:r>
        <w:rPr>
          <w:rFonts w:hint="eastAsia" w:ascii="方正楷体_GBK" w:hAnsi="方正楷体_GBK" w:eastAsia="方正楷体_GBK" w:cs="方正楷体_GBK"/>
          <w:color w:val="000000"/>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38.1 本项目中的</w:t>
      </w:r>
      <w:r>
        <w:rPr>
          <w:rFonts w:hint="eastAsia" w:ascii="宋体" w:hAnsi="宋体"/>
          <w:color w:val="000000"/>
          <w:sz w:val="24"/>
          <w:highlight w:val="none"/>
          <w:lang w:val="zh-CN"/>
        </w:rPr>
        <w:t xml:space="preserve">货物</w:t>
      </w:r>
      <w:r>
        <w:rPr>
          <w:rFonts w:hint="eastAsia" w:ascii="宋体" w:hAnsi="宋体"/>
          <w:color w:val="000000"/>
          <w:sz w:val="24"/>
          <w:highlight w:val="none"/>
        </w:rPr>
        <w:t xml:space="preserve">全部</w:t>
      </w:r>
      <w:r>
        <w:rPr>
          <w:rFonts w:hint="eastAsia" w:ascii="宋体" w:hAnsi="宋体"/>
          <w:color w:val="000000"/>
          <w:sz w:val="24"/>
          <w:highlight w:val="none"/>
          <w:lang w:val="zh-CN"/>
        </w:rPr>
        <w:t xml:space="preserve">由中小企业制造的，</w:t>
      </w:r>
      <w:r>
        <w:rPr>
          <w:rFonts w:hint="eastAsia" w:ascii="宋体" w:hAnsi="宋体"/>
          <w:color w:val="000000"/>
          <w:sz w:val="24"/>
          <w:highlight w:val="none"/>
        </w:rPr>
        <w:t xml:space="preserve">投标供应商</w:t>
      </w:r>
      <w:r>
        <w:rPr>
          <w:rFonts w:hint="eastAsia" w:ascii="宋体" w:hAnsi="宋体"/>
          <w:color w:val="000000"/>
          <w:sz w:val="24"/>
          <w:highlight w:val="none"/>
          <w:lang w:val="zh-CN"/>
        </w:rPr>
        <w:t xml:space="preserve">享受中小企业扶持政策。</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38.2 </w:t>
      </w:r>
      <w:r>
        <w:rPr>
          <w:rFonts w:hint="eastAsia" w:ascii="宋体" w:hAnsi="宋体"/>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38.3 </w:t>
      </w:r>
      <w:r>
        <w:rPr>
          <w:rFonts w:hint="eastAsia" w:ascii="宋体" w:hAnsi="宋体"/>
          <w:color w:val="000000"/>
          <w:sz w:val="24"/>
          <w:highlight w:val="none"/>
          <w:lang w:val="zh-CN"/>
        </w:rPr>
        <w:t xml:space="preserve">中小企业参加政府采购活动，应当出具《中小企业声明函》，否则不享受相关中小企业</w:t>
      </w:r>
      <w:r>
        <w:rPr>
          <w:rFonts w:hint="eastAsia" w:ascii="宋体" w:hAnsi="宋体"/>
          <w:color w:val="000000"/>
          <w:sz w:val="24"/>
          <w:highlight w:val="none"/>
        </w:rPr>
        <w:t xml:space="preserve">支持</w:t>
      </w:r>
      <w:r>
        <w:rPr>
          <w:rFonts w:hint="eastAsia" w:ascii="宋体" w:hAnsi="宋体"/>
          <w:color w:val="000000"/>
          <w:sz w:val="24"/>
          <w:highlight w:val="none"/>
          <w:lang w:val="zh-CN"/>
        </w:rPr>
        <w:t xml:space="preserve">政策。</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38.4 </w:t>
      </w:r>
      <w:r>
        <w:rPr>
          <w:rFonts w:hint="eastAsia" w:ascii="宋体" w:hAnsi="宋体"/>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 </w:t>
      </w:r>
      <w:r>
        <w:rPr>
          <w:rFonts w:hint="eastAsia" w:ascii="宋体" w:hAnsi="宋体" w:cs="宋体"/>
          <w:color w:val="000000"/>
          <w:sz w:val="24"/>
          <w:szCs w:val="24"/>
          <w:highlight w:val="none"/>
        </w:rPr>
        <w:t xml:space="preserve">监狱和戒毒企业（简称监狱企业）视同小型、微型企业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w:t>
      </w:r>
      <w:r>
        <w:rPr>
          <w:rFonts w:hint="eastAsia" w:ascii="宋体" w:hAnsi="宋体"/>
          <w:color w:val="000000"/>
          <w:sz w:val="24"/>
          <w:highlight w:val="none"/>
          <w:lang w:val="zh-CN"/>
        </w:rPr>
        <w:t xml:space="preserve">《关于政府采购支持监狱企业发展有关问题的通知》（财库〔2014〕68号）</w:t>
      </w:r>
      <w:r>
        <w:rPr>
          <w:rFonts w:hint="eastAsia" w:ascii="宋体" w:hAnsi="宋体"/>
          <w:color w:val="000000"/>
          <w:sz w:val="24"/>
          <w:highlight w:val="none"/>
        </w:rPr>
        <w:t xml:space="preserve">规定，</w:t>
      </w:r>
      <w:r>
        <w:rPr>
          <w:rFonts w:hint="eastAsia" w:ascii="宋体" w:hAnsi="宋体"/>
          <w:color w:val="000000"/>
          <w:sz w:val="24"/>
          <w:highlight w:val="none"/>
          <w:lang w:val="zh-CN"/>
        </w:rPr>
        <w:t xml:space="preserve">监狱企业需提供由省级以上监狱管理局、戒毒管理局(含新疆生产建设兵团)出具的属于监狱企业的证明文件。</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 残疾人福利性单位</w:t>
      </w:r>
      <w:r>
        <w:rPr>
          <w:rFonts w:hint="eastAsia" w:ascii="宋体" w:hAnsi="宋体" w:cs="宋体"/>
          <w:color w:val="000000"/>
          <w:sz w:val="24"/>
          <w:szCs w:val="24"/>
          <w:highlight w:val="none"/>
        </w:rPr>
        <w:t xml:space="preserve">视同小型、微型企业</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按照《关于促进残疾人就业政府采购政策的通知》（财库〔2017〕141号）规定，</w:t>
      </w:r>
      <w:r>
        <w:rPr>
          <w:rFonts w:hint="eastAsia" w:ascii="宋体" w:hAnsi="宋体" w:cs="宋体"/>
          <w:color w:val="000000"/>
          <w:sz w:val="24"/>
          <w:szCs w:val="24"/>
          <w:highlight w:val="none"/>
        </w:rPr>
        <w:t xml:space="preserve">残疾人福利单位</w:t>
      </w:r>
      <w:r>
        <w:rPr>
          <w:rFonts w:hint="eastAsia" w:ascii="宋体" w:hAnsi="宋体"/>
          <w:color w:val="000000"/>
          <w:sz w:val="24"/>
          <w:highlight w:val="none"/>
        </w:rPr>
        <w:t xml:space="preserve">需</w:t>
      </w:r>
      <w:r>
        <w:rPr>
          <w:rFonts w:hint="eastAsia" w:ascii="宋体" w:hAnsi="宋体"/>
          <w:color w:val="000000"/>
          <w:sz w:val="24"/>
          <w:highlight w:val="none"/>
          <w:lang w:val="zh-CN"/>
        </w:rPr>
        <w:t xml:space="preserve">提供《残疾人福利性单位声明函》。</w:t>
      </w:r>
      <w:r>
        <w:rPr>
          <w:rFonts w:hint="eastAsia" w:ascii="宋体" w:hAnsi="宋体"/>
          <w:color w:val="000000"/>
          <w:sz w:val="24"/>
          <w:highlight w:val="none"/>
          <w:lang w:val="zh-CN"/>
        </w:rPr>
      </w:r>
      <w:r/>
    </w:p>
    <w:p>
      <w:pPr>
        <w:pStyle w:val="88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rPr>
        <w:t xml:space="preserve">9</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节能环保产品</w:t>
      </w:r>
      <w:r>
        <w:rPr>
          <w:rFonts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39.2 采购产品</w:t>
      </w:r>
      <w:r>
        <w:rPr>
          <w:rFonts w:hint="eastAsia" w:ascii="宋体" w:hAnsi="宋体"/>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39.3 采购产品</w:t>
      </w:r>
      <w:r>
        <w:rPr>
          <w:rFonts w:hint="eastAsia" w:ascii="宋体" w:hAnsi="宋体"/>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第五章评标方法与评标标准</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88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40</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40.1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highlight w:val="none"/>
        </w:rPr>
        <w:t xml:space="preserve">《商品包装政府采购需求标准（试行）》《快递包装政府采购需求标准（试行）》（财办库〔2020〕123号）、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文件执行。采购文件对</w:t>
      </w:r>
      <w:r>
        <w:rPr>
          <w:rFonts w:hint="eastAsia" w:ascii="宋体"/>
          <w:bCs/>
          <w:color w:val="000000"/>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40.2 采购产品中涉及数据中心相关设备、运维服务的，应按照《关于印发〈绿色数据中心政府采购需求标准（试行）的通知》（财办库〔2023〕7号）、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olor w:val="000000"/>
          <w:sz w:val="24"/>
          <w:highlight w:val="none"/>
        </w:rPr>
      </w:r>
      <w:r/>
    </w:p>
    <w:p>
      <w:pPr>
        <w:pStyle w:val="881"/>
        <w:ind w:firstLine="420"/>
        <w:rPr>
          <w:rFonts w:hint="eastAsia" w:ascii="宋体" w:hAnsi="宋体"/>
          <w:color w:val="000000"/>
          <w:sz w:val="24"/>
          <w:highlight w:val="none"/>
        </w:rPr>
      </w:pPr>
      <w:r>
        <w:rPr>
          <w:rFonts w:hint="eastAsia" w:ascii="宋体" w:hAnsi="宋体"/>
          <w:color w:val="000000"/>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olor w:val="000000"/>
          <w:sz w:val="24"/>
          <w:highlight w:val="none"/>
        </w:rPr>
      </w:r>
      <w:r/>
    </w:p>
    <w:p>
      <w:pPr>
        <w:pStyle w:val="88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41</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881"/>
        <w:ind w:firstLine="420"/>
        <w:widowControl/>
        <w:rPr>
          <w:rFonts w:hint="eastAsia" w:ascii="宋体" w:hAnsi="宋体"/>
          <w:color w:val="000000"/>
          <w:sz w:val="24"/>
          <w:highlight w:val="none"/>
        </w:rPr>
      </w:pPr>
      <w:r>
        <w:rPr>
          <w:rFonts w:hint="eastAsia" w:ascii="宋体" w:hAnsi="宋体"/>
          <w:color w:val="000000"/>
          <w:sz w:val="24"/>
          <w:highlight w:val="none"/>
        </w:rPr>
        <w:t xml:space="preserve">41.1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885"/>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42.</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42.1 </w:t>
      </w:r>
      <w:r>
        <w:rPr>
          <w:rFonts w:hint="eastAsia" w:ascii="宋体" w:hAnsi="宋体"/>
          <w:color w:val="000000"/>
          <w:sz w:val="24"/>
          <w:highlight w:val="none"/>
          <w:lang w:val="zh-CN"/>
        </w:rPr>
        <w:t xml:space="preserve">本</w:t>
      </w:r>
      <w:r>
        <w:rPr>
          <w:rFonts w:hint="eastAsia" w:ascii="宋体" w:hAnsi="宋体"/>
          <w:color w:val="000000"/>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color w:val="000000"/>
          <w:sz w:val="24"/>
          <w:highlight w:val="none"/>
          <w:lang w:val="zh-CN"/>
        </w:rPr>
      </w:r>
      <w:r/>
    </w:p>
    <w:p>
      <w:pPr>
        <w:pStyle w:val="881"/>
        <w:ind w:firstLine="420"/>
        <w:rPr>
          <w:rFonts w:hint="eastAsia" w:ascii="宋体" w:hAnsi="宋体"/>
          <w:color w:val="000000"/>
          <w:sz w:val="24"/>
          <w:highlight w:val="none"/>
          <w:lang w:val="zh-CN"/>
        </w:rPr>
      </w:pPr>
      <w:r>
        <w:rPr>
          <w:rFonts w:hint="eastAsia" w:ascii="宋体" w:hAnsi="宋体"/>
          <w:color w:val="000000"/>
          <w:sz w:val="24"/>
          <w:highlight w:val="none"/>
        </w:rPr>
        <w:t xml:space="preserve">42.2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color w:val="000000"/>
          <w:sz w:val="24"/>
          <w:highlight w:val="none"/>
          <w:lang w:val="zh-CN"/>
        </w:rPr>
      </w:r>
      <w:r/>
    </w:p>
    <w:p>
      <w:pPr>
        <w:pStyle w:val="959"/>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81"/>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959"/>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81"/>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959"/>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81"/>
        <w:rPr>
          <w:rFonts w:hint="eastAsia" w:ascii="宋体" w:hAnsi="宋体"/>
          <w:color w:val="000000"/>
          <w:sz w:val="24"/>
          <w:highlight w:val="none"/>
          <w:lang w:val="zh-CN"/>
        </w:rPr>
      </w:pPr>
      <w:r>
        <w:rPr>
          <w:rFonts w:hint="eastAsia" w:ascii="宋体" w:hAnsi="宋体"/>
          <w:color w:val="000000"/>
          <w:sz w:val="24"/>
          <w:highlight w:val="none"/>
          <w:lang w:val="zh-CN"/>
        </w:rPr>
      </w:r>
      <w:r/>
    </w:p>
    <w:p>
      <w:pPr>
        <w:pStyle w:val="959"/>
        <w:ind w:left="0"/>
        <w:jc w:val="center"/>
        <w:rPr>
          <w:rFonts w:hint="eastAsia" w:ascii="黑体" w:hAnsi="Times New Roman" w:eastAsia="黑体" w:cs="Times New Roman"/>
          <w:color w:val="000000"/>
          <w:sz w:val="44"/>
          <w:szCs w:val="44"/>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881"/>
        <w:ind w:firstLine="480"/>
        <w:spacing w:line="264" w:lineRule="auto"/>
        <w:rPr>
          <w:rFonts w:hint="eastAsia" w:ascii="宋体" w:hAnsi="宋体"/>
          <w:bCs/>
          <w:color w:val="000000"/>
          <w:sz w:val="24"/>
          <w:szCs w:val="21"/>
          <w:highlight w:val="none"/>
        </w:rPr>
      </w:pPr>
      <w:r/>
      <w:bookmarkStart w:id="183" w:name="_Toc16938559"/>
      <w:r/>
      <w:bookmarkStart w:id="184" w:name="_Toc20823315"/>
      <w:r/>
      <w:bookmarkStart w:id="185" w:name="_Toc513029243"/>
      <w:r/>
      <w:bookmarkStart w:id="186" w:name="_Hlt16619350"/>
      <w:r/>
      <w:bookmarkStart w:id="187" w:name="_Toc20823346"/>
      <w:r/>
      <w:bookmarkStart w:id="188" w:name="_Toc120614244"/>
      <w:r/>
      <w:bookmarkStart w:id="189" w:name="_Toc16938590"/>
      <w:r/>
      <w:bookmarkStart w:id="190" w:name="_Toc479757211"/>
      <w:r/>
      <w:bookmarkStart w:id="191" w:name="_Toc462564139"/>
      <w:r>
        <w:rPr>
          <w:rFonts w:hint="eastAsia" w:ascii="宋体" w:hAnsi="宋体"/>
          <w:bCs/>
          <w:color w:val="000000"/>
          <w:sz w:val="24"/>
          <w:szCs w:val="21"/>
          <w:highlight w:val="none"/>
        </w:rPr>
        <w:t xml:space="preserve">以下为本项目的合同条款，合同双方不得对招标、投标文件内容作实质性修改。</w:t>
      </w:r>
      <w:r>
        <w:rPr>
          <w:rFonts w:hint="eastAsia" w:ascii="宋体" w:hAnsi="宋体"/>
          <w:bCs/>
          <w:color w:val="000000"/>
          <w:sz w:val="24"/>
          <w:szCs w:val="21"/>
          <w:highlight w:val="none"/>
        </w:rPr>
      </w:r>
      <w:r/>
    </w:p>
    <w:p>
      <w:pPr>
        <w:pStyle w:val="881"/>
        <w:jc w:val="center"/>
        <w:spacing w:before="145" w:after="145" w:line="264" w:lineRule="auto"/>
        <w:rPr>
          <w:rFonts w:hint="eastAsia" w:ascii="宋体" w:hAnsi="宋体"/>
          <w:b/>
          <w:color w:val="000000"/>
          <w:sz w:val="30"/>
          <w:szCs w:val="21"/>
          <w:highlight w:val="none"/>
        </w:rPr>
      </w:pPr>
      <w:r>
        <w:rPr>
          <w:rFonts w:hint="eastAsia" w:ascii="宋体" w:hAnsi="宋体"/>
          <w:b/>
          <w:color w:val="000000"/>
          <w:sz w:val="30"/>
          <w:szCs w:val="21"/>
          <w:highlight w:val="none"/>
        </w:rPr>
      </w:r>
      <w:r/>
    </w:p>
    <w:p>
      <w:pPr>
        <w:pStyle w:val="881"/>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政府采购合同（货物）</w:t>
      </w:r>
      <w:r>
        <w:rPr>
          <w:rFonts w:hint="eastAsia" w:ascii="方正小标宋简体" w:hAnsi="方正小标宋简体" w:eastAsia="方正小标宋简体" w:cs="方正小标宋简体"/>
          <w:bCs/>
          <w:color w:val="000000"/>
          <w:sz w:val="32"/>
          <w:szCs w:val="32"/>
          <w:highlight w:val="none"/>
        </w:rPr>
      </w:r>
      <w:r/>
    </w:p>
    <w:p>
      <w:pPr>
        <w:pStyle w:val="881"/>
        <w:jc w:val="left"/>
        <w:spacing w:before="145" w:after="145"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rPr>
          <w:rFonts w:ascii="宋体" w:hAnsi="宋体" w:cs="Courier New"/>
          <w:color w:val="000000"/>
          <w:sz w:val="24"/>
          <w:szCs w:val="24"/>
          <w:highlight w:val="none"/>
        </w:rPr>
      </w:r>
      <w:r/>
    </w:p>
    <w:p>
      <w:pPr>
        <w:pStyle w:val="881"/>
        <w:spacing w:before="145" w:after="145"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81"/>
        <w:jc w:val="left"/>
        <w:spacing w:before="145" w:after="145"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rPr>
          <w:rFonts w:ascii="宋体" w:hAnsi="宋体" w:cs="Courier New"/>
          <w:color w:val="000000"/>
          <w:sz w:val="24"/>
          <w:szCs w:val="24"/>
          <w:highlight w:val="none"/>
        </w:rPr>
      </w:r>
      <w:r/>
    </w:p>
    <w:p>
      <w:pPr>
        <w:pStyle w:val="881"/>
        <w:jc w:val="left"/>
        <w:spacing w:before="145" w:after="145"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rPr>
          <w:rFonts w:ascii="宋体" w:hAnsi="宋体" w:cs="Courier New"/>
          <w:color w:val="000000"/>
          <w:sz w:val="24"/>
          <w:szCs w:val="24"/>
          <w:highlight w:val="none"/>
        </w:rPr>
      </w:r>
      <w:r/>
    </w:p>
    <w:p>
      <w:pPr>
        <w:pStyle w:val="881"/>
        <w:spacing w:line="264" w:lineRule="auto"/>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南京市公共资源交易中心组织的</w:t>
      </w:r>
      <w:r>
        <w:rPr>
          <w:rFonts w:hint="eastAsia" w:hAnsi="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 标的名称：</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 标的质量：按招标文件及投标文件执行。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标的数量（规模）：按招标文件及投标文件执行。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履行地点：采购人指定地点。</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hint="eastAsia" w:ascii="方正黑体_GBK" w:hAnsi="方正黑体_GBK" w:eastAsia="方正黑体_GBK" w:cs="方正黑体_GBK"/>
          <w:bCs/>
          <w:color w:val="000000"/>
          <w:sz w:val="24"/>
          <w:szCs w:val="24"/>
          <w:highlight w:val="none"/>
        </w:rPr>
      </w:r>
      <w:r/>
    </w:p>
    <w:p>
      <w:pPr>
        <w:pStyle w:val="922"/>
        <w:spacing w:line="264" w:lineRule="auto"/>
        <w:rPr>
          <w:rFonts w:hAnsi="宋体"/>
          <w:color w:val="000000"/>
          <w:sz w:val="24"/>
          <w:szCs w:val="24"/>
          <w:highlight w:val="none"/>
        </w:rPr>
      </w:pPr>
      <w:r>
        <w:rPr>
          <w:rFonts w:hAnsi="宋体"/>
          <w:color w:val="000000"/>
          <w:sz w:val="24"/>
          <w:szCs w:val="24"/>
          <w:highlight w:val="none"/>
        </w:rPr>
        <w:t xml:space="preserve">2.1 </w:t>
      </w:r>
      <w:r>
        <w:rPr>
          <w:rFonts w:hint="eastAsia" w:hAnsi="宋体"/>
          <w:color w:val="000000"/>
          <w:sz w:val="24"/>
          <w:szCs w:val="24"/>
          <w:highlight w:val="none"/>
        </w:rPr>
        <w:t xml:space="preserve">本合同金额为（大写）：____________________圆（_________________元）人民币。</w:t>
      </w:r>
      <w:r>
        <w:rPr>
          <w:rFonts w:hAnsi="宋体"/>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.1 乙方应按招标文件规定的时间向甲方提供货物(包含与货物相关的服务)的有关技术资料。</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3</w:t>
      </w:r>
      <w:r>
        <w:rPr>
          <w:rFonts w:hint="eastAsia" w:ascii="宋体" w:hAnsi="宋体" w:cs="Courier New"/>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outlineLvl w:val="3"/>
      </w:pPr>
      <w:r>
        <w:rPr>
          <w:rFonts w:hint="eastAsia" w:ascii="宋体" w:hAnsi="宋体" w:cs="Courier New"/>
          <w:color w:val="000000"/>
          <w:sz w:val="24"/>
          <w:szCs w:val="24"/>
          <w:highlight w:val="none"/>
        </w:rPr>
        <w:t xml:space="preserve">6.1 本项目乙方无需缴纳履约保证金。</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乙方如有转包或未经甲方同意的分包行为，甲方有权终止合同。</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922"/>
        <w:spacing w:line="264" w:lineRule="auto"/>
        <w:rPr>
          <w:rFonts w:hint="eastAsia" w:hAnsi="宋体"/>
          <w:color w:val="000000"/>
          <w:sz w:val="24"/>
          <w:szCs w:val="24"/>
          <w:highlight w:val="none"/>
        </w:rPr>
        <w:outlineLvl w:val="3"/>
      </w:pPr>
      <w:r>
        <w:rPr>
          <w:rFonts w:hint="eastAsia" w:hAnsi="宋体"/>
          <w:color w:val="000000"/>
          <w:sz w:val="24"/>
          <w:szCs w:val="24"/>
          <w:highlight w:val="none"/>
        </w:rPr>
        <w:t xml:space="preserve">8.1 合同款项的支付方式及时间</w:t>
      </w:r>
      <w:r>
        <w:rPr>
          <w:rFonts w:hint="eastAsia" w:hAnsi="宋体"/>
          <w:color w:val="000000"/>
          <w:sz w:val="24"/>
          <w:szCs w:val="24"/>
          <w:highlight w:val="none"/>
        </w:rPr>
      </w:r>
      <w:r/>
    </w:p>
    <w:p>
      <w:pPr>
        <w:pStyle w:val="922"/>
        <w:spacing w:line="264" w:lineRule="auto"/>
        <w:rPr>
          <w:rFonts w:hint="eastAsia" w:hAnsi="宋体"/>
          <w:color w:val="000000"/>
          <w:sz w:val="24"/>
          <w:szCs w:val="24"/>
          <w:highlight w:val="none"/>
        </w:rPr>
      </w:pPr>
      <w:r>
        <w:rPr>
          <w:rFonts w:hint="eastAsia" w:hAnsi="宋体"/>
          <w:color w:val="000000"/>
          <w:sz w:val="24"/>
          <w:szCs w:val="24"/>
          <w:highlight w:val="none"/>
        </w:rPr>
        <w:t xml:space="preserve">8.1.1 合同签订后，甲方支付合同总价款的30%作为预付款。</w:t>
      </w:r>
      <w:r>
        <w:rPr>
          <w:rFonts w:hint="eastAsia" w:hAnsi="宋体"/>
          <w:color w:val="000000"/>
          <w:sz w:val="24"/>
          <w:szCs w:val="24"/>
          <w:highlight w:val="none"/>
        </w:rPr>
      </w:r>
      <w:r/>
    </w:p>
    <w:p>
      <w:pPr>
        <w:pStyle w:val="922"/>
        <w:spacing w:line="264" w:lineRule="auto"/>
        <w:rPr>
          <w:rFonts w:hint="eastAsia" w:hAnsi="宋体"/>
          <w:color w:val="000000"/>
          <w:sz w:val="24"/>
          <w:szCs w:val="24"/>
          <w:highlight w:val="none"/>
        </w:rPr>
      </w:pPr>
      <w:r>
        <w:rPr>
          <w:rFonts w:hint="eastAsia" w:hAnsi="宋体"/>
          <w:color w:val="000000"/>
          <w:sz w:val="24"/>
          <w:szCs w:val="24"/>
          <w:highlight w:val="none"/>
        </w:rPr>
        <w:t xml:space="preserve">8.1.2 供货结束并验收合格后，甲方支付合同总价款的70%。</w:t>
      </w:r>
      <w:r>
        <w:rPr>
          <w:rFonts w:hint="eastAsia" w:hAnsi="宋体"/>
          <w:color w:val="000000"/>
          <w:sz w:val="24"/>
          <w:szCs w:val="24"/>
          <w:highlight w:val="none"/>
        </w:rPr>
      </w:r>
      <w:r/>
    </w:p>
    <w:p>
      <w:pPr>
        <w:pStyle w:val="922"/>
        <w:spacing w:line="264" w:lineRule="auto"/>
        <w:rPr>
          <w:rFonts w:hint="eastAsia" w:hAnsi="宋体"/>
          <w:color w:val="000000"/>
          <w:sz w:val="24"/>
          <w:szCs w:val="24"/>
          <w:highlight w:val="none"/>
        </w:rPr>
      </w:pPr>
      <w:r>
        <w:rPr>
          <w:rFonts w:hint="eastAsia" w:hAnsi="宋体"/>
          <w:color w:val="000000"/>
          <w:sz w:val="24"/>
          <w:szCs w:val="24"/>
          <w:highlight w:val="none"/>
        </w:rPr>
        <w:t xml:space="preserve">8.1.3 满足合同约定支付条件的，甲方收到乙方发票后10个工作日内，将资金支付到合同约定的乙方账户。 </w:t>
      </w:r>
      <w:r>
        <w:rPr>
          <w:rFonts w:hint="eastAsia" w:hAnsi="宋体"/>
          <w:color w:val="000000"/>
          <w:sz w:val="24"/>
          <w:szCs w:val="24"/>
          <w:highlight w:val="none"/>
        </w:rPr>
      </w:r>
      <w:r/>
    </w:p>
    <w:p>
      <w:pPr>
        <w:pStyle w:val="922"/>
        <w:spacing w:line="264" w:lineRule="auto"/>
        <w:rPr>
          <w:rFonts w:hint="eastAsia" w:hAnsi="宋体"/>
          <w:color w:val="000000"/>
          <w:sz w:val="24"/>
          <w:szCs w:val="24"/>
          <w:highlight w:val="none"/>
        </w:rPr>
      </w:pPr>
      <w:r>
        <w:rPr>
          <w:rFonts w:hint="eastAsia" w:hAnsi="宋体"/>
          <w:color w:val="000000"/>
          <w:sz w:val="24"/>
          <w:szCs w:val="24"/>
          <w:highlight w:val="none"/>
        </w:rPr>
        <w:t xml:space="preserve">8.2 根据《保障中小企业款项支付条例》规定，甲方未按合同约定支付款项的，乙方可以向有关部门投诉。</w:t>
      </w:r>
      <w:r>
        <w:rPr>
          <w:rFonts w:hint="eastAsia" w:hAnsi="宋体"/>
          <w:color w:val="000000"/>
          <w:sz w:val="24"/>
          <w:szCs w:val="24"/>
          <w:highlight w:val="none"/>
        </w:rPr>
      </w:r>
      <w:r/>
    </w:p>
    <w:p>
      <w:pPr>
        <w:pStyle w:val="922"/>
        <w:spacing w:line="264" w:lineRule="auto"/>
        <w:rPr>
          <w:rFonts w:hint="eastAsia" w:hAnsi="宋体"/>
          <w:color w:val="000000"/>
          <w:sz w:val="24"/>
          <w:szCs w:val="24"/>
          <w:highlight w:val="none"/>
        </w:rPr>
      </w:pPr>
      <w:r>
        <w:rPr>
          <w:rFonts w:hint="eastAsia" w:hAnsi="宋体"/>
          <w:color w:val="000000"/>
          <w:sz w:val="24"/>
          <w:szCs w:val="24"/>
          <w:highlight w:val="none"/>
        </w:rPr>
        <w:t xml:space="preserve">8.3 当采购数量与实际使用数量不一致时，乙方应根据实际使用量供货，合同的最终结算金额按实际使用量乘以成交单价进行计算。</w:t>
      </w:r>
      <w:r>
        <w:rPr>
          <w:rFonts w:hint="eastAsia" w:hAnsi="宋体"/>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乙方应按招标文件规定的货物性能、技术要求、质量标准向甲方提供未经使用的全新产品。</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10.2.1 更换：由乙方承担所发生的全部费用。</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10.2.2 贬值处理：由甲乙双方合议定价。</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如在使用过程中发生质量问题，乙方应在接到甲方通知后</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小时内到达甲方现场。</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质保期内，乙方应对货物出现的质量及安全问题负责处理解决并承担一切费用。</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质保期为自交货验收合格之日起</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年，因人为因素出现的故障不在质保范围内。超过质保期的乙方负责终生维修，维修时只收取部件成本费。</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十一、项目验收</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甲方依法组织履约验收工作。</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11.3 对于实际使用人和甲方分离的项目，甲方邀请实际使用人参与验收。</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如有必要，甲方可邀请参加本项目投标的其他供应商或第三方专业机构及专家参与验收，相关意见将作为验收结论的参考。</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十二、货物的包装、发运及运输</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使用说明书、质量检验证明书、随配附件和工具以及清单一并附于货物内。</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乙方在货物发运手续办理完毕后24小时内或货到甲方48小时前通知甲方，以准备接货。</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12.4 货物在交付甲方前发生的风险均由乙方负责。</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12.5 货物在规定的交付期限内由乙方送达甲方指定的地点视为交付，乙方同时需通知甲方货物已送达。</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十三、违约责任</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甲方无正当理由拒收货物的，应向乙方偿付拒收货物总价款</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13.2 甲方无故逾期验收和办理货款支付手续的，应按逾期付款总额每日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向乙方支付违约金。</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13.3 乙方逾期交付货物的，应按逾期交货总额每日</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 </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Courier New"/>
          <w:color w:val="000000"/>
          <w:sz w:val="24"/>
          <w:szCs w:val="24"/>
          <w:highlight w:val="none"/>
        </w:rPr>
      </w:r>
      <w:r/>
    </w:p>
    <w:p>
      <w:pPr>
        <w:pStyle w:val="881"/>
        <w:spacing w:line="264" w:lineRule="auto"/>
        <w:rPr>
          <w:rFonts w:hint="eastAsia"/>
          <w:color w:val="000000"/>
          <w:highlight w:val="none"/>
        </w:rPr>
      </w:pPr>
      <w:r>
        <w:rPr>
          <w:rFonts w:hint="eastAsia" w:ascii="宋体" w:hAnsi="宋体" w:cs="Courier New"/>
          <w:color w:val="000000"/>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十四、不可抗力事件处理</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在合同有效期内，任何一方因不可抗力事件导致不能履行合同，则合同履行期可延长，其延长期与不可抗力影响期相同。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不可抗力事件发生后，应立即通知对方并寄送有关权威机构出具的证明。</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不可抗力事件延续120天以上，双方应通过友好协商确定是否继续履行合同。</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十五、解决争议的方法</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15.1 甲乙双方因合同签订、履行而发生的一切争议，应通过友好协商解决。协商不成的由甲方住所地人民法院管辖。</w:t>
      </w:r>
      <w:r>
        <w:rPr>
          <w:rFonts w:hint="eastAsia" w:ascii="宋体" w:hAnsi="宋体" w:cs="Courier New"/>
          <w:color w:val="000000"/>
          <w:sz w:val="24"/>
          <w:szCs w:val="24"/>
          <w:highlight w:val="none"/>
        </w:rPr>
      </w:r>
      <w:r/>
    </w:p>
    <w:p>
      <w:pPr>
        <w:pStyle w:val="881"/>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十六、合同生效及其它</w:t>
      </w:r>
      <w:r>
        <w:rPr>
          <w:rFonts w:hint="eastAsia" w:ascii="方正黑体_GBK" w:hAnsi="方正黑体_GBK" w:eastAsia="方正黑体_GBK" w:cs="方正黑体_GBK"/>
          <w:bCs/>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16.1 本合同经双方加盖单位公章后生效。</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16.2 本合同未尽事宜，遵照《中华人民共和国民法典》《中华人民共和国政府采购法》有关条文执行。</w:t>
      </w:r>
      <w:r>
        <w:rPr>
          <w:rFonts w:hint="eastAsia" w:ascii="宋体" w:hAnsi="宋体" w:cs="Courier New"/>
          <w:color w:val="000000"/>
          <w:sz w:val="24"/>
          <w:szCs w:val="24"/>
          <w:highlight w:val="none"/>
        </w:rPr>
      </w:r>
      <w:r/>
    </w:p>
    <w:p>
      <w:pPr>
        <w:pStyle w:val="881"/>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16.3 本合同正本一式两份，具有同等法律效力，甲方、乙方各执一份。</w:t>
      </w:r>
      <w:r>
        <w:rPr>
          <w:rFonts w:hint="eastAsia" w:ascii="宋体" w:hAnsi="宋体" w:cs="Courier New"/>
          <w:color w:val="000000"/>
          <w:sz w:val="24"/>
          <w:szCs w:val="24"/>
          <w:highlight w:val="none"/>
        </w:rPr>
      </w:r>
      <w:r/>
    </w:p>
    <w:p>
      <w:pPr>
        <w:pStyle w:val="922"/>
        <w:spacing w:before="120" w:after="120" w:line="264" w:lineRule="auto"/>
        <w:rPr>
          <w:rFonts w:hint="eastAsia" w:hAnsi="宋体"/>
          <w:color w:val="000000"/>
          <w:sz w:val="24"/>
          <w:szCs w:val="24"/>
          <w:highlight w:val="none"/>
        </w:rPr>
      </w:pPr>
      <w:r/>
      <w:bookmarkEnd w:id="183"/>
      <w:r/>
      <w:bookmarkEnd w:id="184"/>
      <w:r/>
      <w:bookmarkEnd w:id="185"/>
      <w:r/>
      <w:bookmarkStart w:id="192" w:name="_Hlt16619369"/>
      <w:r/>
      <w:bookmarkEnd w:id="192"/>
      <w:r>
        <w:rPr>
          <w:rFonts w:hint="eastAsia" w:hAnsi="宋体"/>
          <w:color w:val="000000"/>
          <w:sz w:val="24"/>
          <w:szCs w:val="24"/>
          <w:highlight w:val="none"/>
        </w:rPr>
        <w:t xml:space="preserve">  </w:t>
      </w:r>
      <w:r>
        <w:rPr>
          <w:rFonts w:hint="eastAsia" w:hAnsi="宋体"/>
          <w:color w:val="000000"/>
          <w:sz w:val="24"/>
          <w:szCs w:val="24"/>
          <w:highlight w:val="none"/>
        </w:rPr>
      </w:r>
      <w:r/>
    </w:p>
    <w:p>
      <w:pPr>
        <w:pStyle w:val="922"/>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甲  方：（公章）                       乙  方：（公章） </w:t>
      </w:r>
      <w:r>
        <w:rPr>
          <w:rFonts w:hint="eastAsia" w:hAnsi="宋体"/>
          <w:color w:val="000000"/>
          <w:sz w:val="24"/>
          <w:szCs w:val="24"/>
          <w:highlight w:val="none"/>
        </w:rPr>
      </w:r>
      <w:r/>
    </w:p>
    <w:p>
      <w:pPr>
        <w:pStyle w:val="922"/>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地  址：                               地  址： </w:t>
      </w:r>
      <w:r>
        <w:rPr>
          <w:rFonts w:hint="eastAsia" w:hAnsi="宋体"/>
          <w:color w:val="000000"/>
          <w:sz w:val="24"/>
          <w:szCs w:val="24"/>
          <w:highlight w:val="none"/>
        </w:rPr>
      </w:r>
      <w:r/>
    </w:p>
    <w:p>
      <w:pPr>
        <w:pStyle w:val="922"/>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法定代表人或授权代表：                 法定代表人或授权代表：</w:t>
      </w:r>
      <w:r>
        <w:rPr>
          <w:rFonts w:hint="eastAsia" w:hAnsi="宋体"/>
          <w:color w:val="000000"/>
          <w:sz w:val="24"/>
          <w:szCs w:val="24"/>
          <w:highlight w:val="none"/>
        </w:rPr>
      </w:r>
      <w:r/>
    </w:p>
    <w:p>
      <w:pPr>
        <w:pStyle w:val="922"/>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联系电话：                             联系电话：          </w:t>
      </w:r>
      <w:r>
        <w:rPr>
          <w:rFonts w:hint="eastAsia" w:hAnsi="宋体"/>
          <w:color w:val="000000"/>
          <w:sz w:val="24"/>
          <w:szCs w:val="24"/>
          <w:highlight w:val="none"/>
        </w:rPr>
      </w:r>
      <w:r/>
    </w:p>
    <w:p>
      <w:pPr>
        <w:pStyle w:val="922"/>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rPr>
      </w:r>
      <w:r/>
    </w:p>
    <w:p>
      <w:pPr>
        <w:pStyle w:val="922"/>
        <w:ind w:firstLine="4800"/>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签订日期：      </w:t>
      </w:r>
      <w:r>
        <w:rPr>
          <w:rFonts w:hint="eastAsia" w:hAnsi="宋体"/>
          <w:color w:val="000000"/>
          <w:sz w:val="24"/>
          <w:szCs w:val="24"/>
          <w:highlight w:val="none"/>
        </w:rPr>
      </w:r>
      <w:r/>
    </w:p>
    <w:p>
      <w:pPr>
        <w:pStyle w:val="881"/>
        <w:jc w:val="center"/>
        <w:spacing w:before="145" w:after="145" w:line="264" w:lineRule="auto"/>
        <w:rPr>
          <w:rFonts w:hint="eastAsia" w:ascii="宋体" w:hAnsi="宋体"/>
          <w:b/>
          <w:color w:val="000000"/>
          <w:sz w:val="30"/>
          <w:szCs w:val="21"/>
          <w:highlight w:val="none"/>
        </w:rPr>
      </w:pPr>
      <w:r>
        <w:rPr>
          <w:rFonts w:hint="eastAsia" w:ascii="宋体" w:hAnsi="宋体"/>
          <w:b/>
          <w:color w:val="000000"/>
          <w:sz w:val="30"/>
          <w:szCs w:val="21"/>
          <w:highlight w:val="none"/>
        </w:rPr>
      </w:r>
      <w:r/>
    </w:p>
    <w:p>
      <w:pPr>
        <w:pStyle w:val="881"/>
        <w:spacing w:before="145" w:after="145" w:line="264" w:lineRule="auto"/>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r>
      <w:r/>
    </w:p>
    <w:p>
      <w:pPr>
        <w:pStyle w:val="881"/>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outlineLvl w:val="1"/>
      </w:pPr>
      <w:r>
        <w:rPr>
          <w:rFonts w:hint="eastAsia" w:ascii="方正小标宋简体" w:hAnsi="方正小标宋简体" w:eastAsia="方正小标宋简体" w:cs="方正小标宋简体"/>
          <w:bCs/>
          <w:color w:val="000000"/>
          <w:sz w:val="32"/>
          <w:szCs w:val="32"/>
          <w:highlight w:val="none"/>
        </w:rPr>
        <w:t xml:space="preserve">《*******合同》补充协议（合同附件）</w:t>
      </w:r>
      <w:r>
        <w:rPr>
          <w:rFonts w:hint="eastAsia" w:ascii="方正小标宋简体" w:hAnsi="方正小标宋简体" w:eastAsia="方正小标宋简体" w:cs="方正小标宋简体"/>
          <w:bCs/>
          <w:color w:val="000000"/>
          <w:sz w:val="32"/>
          <w:szCs w:val="32"/>
          <w:highlight w:val="none"/>
        </w:rPr>
      </w:r>
      <w:r/>
    </w:p>
    <w:p>
      <w:pPr>
        <w:pStyle w:val="922"/>
        <w:ind w:firstLine="480"/>
        <w:jc w:val="left"/>
        <w:spacing w:before="120" w:after="120" w:line="264" w:lineRule="auto"/>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rPr>
          <w:rFonts w:hAnsi="宋体"/>
          <w:color w:val="000000"/>
          <w:sz w:val="24"/>
          <w:szCs w:val="24"/>
          <w:highlight w:val="none"/>
        </w:rPr>
      </w:r>
      <w:r/>
    </w:p>
    <w:p>
      <w:pPr>
        <w:pStyle w:val="881"/>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186"/>
      <w:r>
        <w:rPr>
          <w:rFonts w:hint="eastAsia" w:ascii="方正小标宋简体" w:hAnsi="方正小标宋简体" w:eastAsia="方正小标宋简体" w:cs="方正小标宋简体"/>
          <w:color w:val="000000"/>
          <w:sz w:val="36"/>
          <w:szCs w:val="36"/>
          <w:highlight w:val="none"/>
        </w:rPr>
        <w:t xml:space="preserve">四章  采购需求</w:t>
      </w:r>
      <w:bookmarkEnd w:id="187"/>
      <w:r/>
      <w:bookmarkEnd w:id="188"/>
      <w:r/>
      <w:bookmarkEnd w:id="189"/>
      <w:r>
        <w:rPr>
          <w:rFonts w:hint="eastAsia" w:ascii="方正小标宋简体" w:hAnsi="方正小标宋简体" w:eastAsia="方正小标宋简体" w:cs="方正小标宋简体"/>
          <w:color w:val="000000"/>
          <w:sz w:val="36"/>
          <w:szCs w:val="36"/>
          <w:highlight w:val="none"/>
        </w:rPr>
      </w:r>
      <w:r/>
    </w:p>
    <w:p>
      <w:pPr>
        <w:pStyle w:val="881"/>
        <w:ind w:firstLine="480"/>
        <w:spacing w:line="264" w:lineRule="auto"/>
        <w:rPr>
          <w:rFonts w:hint="eastAsia" w:ascii="黑体" w:hAnsi="黑体" w:eastAsia="黑体" w:cs="黑体"/>
          <w:color w:val="000000"/>
          <w:sz w:val="24"/>
          <w:szCs w:val="24"/>
          <w:highlight w:val="none"/>
        </w:rPr>
      </w:pPr>
      <w:r/>
      <w:bookmarkStart w:id="193" w:name="_Toc49090575"/>
      <w:r/>
      <w:bookmarkStart w:id="194" w:name="_Toc26554093"/>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货物类项目。</w:t>
      </w:r>
      <w:r>
        <w:rPr>
          <w:rFonts w:hint="eastAsia" w:ascii="黑体" w:hAnsi="黑体" w:eastAsia="黑体" w:cs="黑体"/>
          <w:color w:val="000000"/>
          <w:sz w:val="24"/>
          <w:szCs w:val="24"/>
          <w:highlight w:val="none"/>
        </w:rPr>
      </w:r>
      <w:r/>
    </w:p>
    <w:p>
      <w:pPr>
        <w:pStyle w:val="88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hint="eastAsia" w:ascii="黑体" w:hAnsi="黑体" w:eastAsia="黑体" w:cs="黑体"/>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（一）项目背景</w:t>
      </w:r>
      <w:r>
        <w:rPr>
          <w:rFonts w:hint="eastAsia" w:ascii="宋体" w:hAnsi="宋体" w:cs="宋体"/>
          <w:bCs/>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本项目为南京市第29中学新校区生物及智慧云实验室基础设备采购。项目包含设备采购、安装、调试并培训使用，保障学校正常教学活动开展。</w:t>
      </w:r>
      <w:r>
        <w:rPr>
          <w:rFonts w:hint="eastAsia" w:ascii="宋体" w:hAnsi="宋体" w:cs="宋体"/>
          <w:bCs/>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（二）项目建设遵循标准</w:t>
      </w:r>
      <w:r>
        <w:rPr>
          <w:rFonts w:hint="eastAsia" w:ascii="宋体" w:hAnsi="宋体" w:cs="宋体"/>
          <w:bCs/>
          <w:color w:val="000000"/>
          <w:sz w:val="24"/>
          <w:szCs w:val="24"/>
          <w:highlight w:val="none"/>
        </w:rPr>
      </w:r>
      <w:r/>
    </w:p>
    <w:p>
      <w:pPr>
        <w:pStyle w:val="881"/>
        <w:ind w:firstLine="480"/>
        <w:spacing w:line="288"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招标文件涉及标准中未标年号的一律采用最新的标准；随着标准的修订，以修订后的最新标准为依据。</w:t>
      </w:r>
      <w:r>
        <w:rPr>
          <w:rFonts w:hint="eastAsia" w:ascii="宋体" w:hAnsi="宋体" w:cs="宋体"/>
          <w:bCs/>
          <w:color w:val="000000"/>
          <w:sz w:val="24"/>
          <w:szCs w:val="24"/>
          <w:highlight w:val="none"/>
        </w:rPr>
        <w:t xml:space="preserve">除上述规范标准以外，须遵循国家、行业及地方现行的规范和标准要求。</w:t>
      </w:r>
      <w:r>
        <w:rPr>
          <w:rFonts w:hint="eastAsia" w:ascii="宋体" w:hAnsi="宋体"/>
          <w:color w:val="000000"/>
          <w:sz w:val="24"/>
          <w:szCs w:val="24"/>
          <w:highlight w:val="none"/>
        </w:rPr>
      </w:r>
      <w:r/>
    </w:p>
    <w:p>
      <w:pPr>
        <w:pStyle w:val="881"/>
        <w:ind w:firstLine="480"/>
        <w:spacing w:line="264"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t xml:space="preserve">三、项目清单</w:t>
      </w:r>
      <w:r>
        <w:rPr>
          <w:rFonts w:hint="eastAsia" w:ascii="黑体" w:hAnsi="黑体" w:eastAsia="黑体" w:cs="黑体"/>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5"/>
        <w:gridCol w:w="1912"/>
        <w:gridCol w:w="799"/>
        <w:gridCol w:w="682"/>
        <w:gridCol w:w="1225"/>
        <w:gridCol w:w="1144"/>
        <w:gridCol w:w="1163"/>
        <w:gridCol w:w="906"/>
        <w:gridCol w:w="1219"/>
      </w:tblGrid>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序号</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分项名称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数量</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单位</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单价上限（元）</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产品类型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所属行业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属性</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政府强制采购节能产品</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教师演示台1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教师演示台2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7950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教师操作台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实验台（学生）1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实验台（学生）2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30000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实验台（学生）3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实验台（学生）4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5300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ascii="宋体" w:hAnsi="宋体" w:cs="宋体"/>
                <w:color w:val="000000"/>
                <w:szCs w:val="21"/>
                <w:highlight w:val="none"/>
              </w:rPr>
            </w:pPr>
            <w:r>
              <w:rPr>
                <w:rFonts w:hint="eastAsia" w:ascii="宋体" w:hAnsi="宋体" w:cs="宋体"/>
                <w:color w:val="000000"/>
                <w:szCs w:val="21"/>
                <w:highlight w:val="none"/>
              </w:rPr>
              <w:t xml:space="preserve">核心产品</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实验柜（学生）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实验台（钢制边台）1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29520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81"/>
              <w:jc w:val="center"/>
              <w:spacing w:line="264"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实验台（钢制边台）2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49500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实验台（钢制边台）3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36000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准备台1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8640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准备台2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准备台3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学生凳</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实验凳</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教师操作椅</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试剂架1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6016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试剂架2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4608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试剂架3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2880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试剂架4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3360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试剂架5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实验室水槽柜</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矮柜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4020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书柜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37630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衣帽柜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仪器柜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1900</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ascii="宋体" w:hAnsi="宋体" w:cs="宋体"/>
                <w:color w:val="000000"/>
                <w:szCs w:val="21"/>
                <w:highlight w:val="none"/>
              </w:rPr>
            </w:pPr>
            <w:r>
              <w:rPr>
                <w:rFonts w:hint="eastAsia" w:ascii="宋体" w:hAnsi="宋体" w:cs="宋体"/>
                <w:color w:val="000000"/>
                <w:szCs w:val="21"/>
                <w:highlight w:val="none"/>
              </w:rPr>
              <w:t xml:space="preserve">主要产品</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陈列柜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双面标本柜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易燃品存柜  </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防爆柜</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（报警装置）</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水槽(小）</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水槽(中）</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三联水嘴</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付</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单面滴水架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台式洗眼器装置</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教师主控电源</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6900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辅助光源</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学生电源</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边台电源</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3D实验室软件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3D实验室软件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实验多目教学示范仪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实验教学直播示范系统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吊装系统控制面板及APP</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10850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吊装控制系统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22800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化学吊装式控制设备</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物理吊装式控制设备</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吊装智能摇臂控制系统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　</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吊装系统摇臂终端盒</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吊装系统照明光源</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吊装系统照明线路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吊装系统供电线路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吊装系统网络线路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吊装系统安装附件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9600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万向吸风罩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屋面风机对接部分</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室内行程管道及配件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风机</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风管配套辅件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电子天平</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685800</wp:posOffset>
                      </wp:positionH>
                      <wp:positionV relativeFrom="paragraph">
                        <wp:posOffset>0</wp:posOffset>
                      </wp:positionV>
                      <wp:extent cx="881380" cy="84391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881380" cy="843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54.0pt;mso-position-horizontal:absolute;mso-position-vertical-relative:text;margin-top:0.0pt;mso-position-vertical:absolute;width:69.4pt;height:66.5pt;mso-wrap-distance-left:9.0pt;mso-wrap-distance-top:0.0pt;mso-wrap-distance-right:9.0pt;mso-wrap-distance-bottom:0.0pt;" stroked="f">
                      <v:path textboxrect="0,0,0,0"/>
                      <v:imagedata r:id="rId12" o:title=""/>
                    </v:shape>
                  </w:pict>
                </mc:Fallback>
              </mc:AlternateContent>
            </w: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笔式酸度计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864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磁力搅拌器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水浴锅</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1854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PH计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4320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超净工作台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17640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接种器具灭菌器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2304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智能光照培养箱</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19200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光照培养架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炼苗架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5760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果酒果醋发酵装置</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酿酒设备</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4440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探究实验耗材包</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紫外灭菌车</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照度计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温湿度计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精油提取器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7200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冰箱</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电磁炉</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组培苗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试剂盒</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教学管理软件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课程培训与服务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项</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val="en-US" w:eastAsia="zh-CN" w:bidi="ar"/>
              </w:rPr>
              <w:t xml:space="preserve">服务</w:t>
            </w:r>
            <w:r>
              <w:rPr>
                <w:rFonts w:hint="eastAsia" w:ascii="宋体" w:hAnsi="宋体" w:eastAsia="宋体" w:cs="宋体"/>
                <w:color w:val="000000"/>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传递窗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9360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净化板隔断</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净化门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扇</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86</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净化灯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87</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紫外灭菌系统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1764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净化通风系统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22500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89</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实验室地面</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90</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实验室水电</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室</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91</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净化吊顶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92</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实验教学管理系统平台软件</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点</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93</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交换机</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94</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显示器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95</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教师控制主机系统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96</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视频多流云终端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97</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视频流媒体服务平台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视频集控服务</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99</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实验控制仪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100</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智能学生云终端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101</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实验操作视频采集系统</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102</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实验室辅件及配套设备</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间</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103</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实验教学及考核管理系统云平台软件</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（校级管理端）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点</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104</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视频同步及管理系统</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（校级管理端）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点</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软件和信息技术服务业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105</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实验教学及考核数据服务器设备（校级管理端）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106</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校级调度及视频服务器设备（校级管理端）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46320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107</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数据汇聚交换机（校级管理端）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台</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路由器（校级管理端）</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109</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高中物理力学演示仪器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42600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110</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高中物理电学演示仪器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31000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111</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高中物理电磁学演示仪器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112</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高中物理近代物理演示仪器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113</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高中物理传感器演示仪器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114</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高中物理光学演示仪器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7200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115</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高中物理热学演示仪器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20000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116</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高中化学组合实验箱1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117</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高中化学组合实验箱2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高中化学组合实验箱3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119</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高中化学组合实验箱4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2300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120</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高中化学组合实验箱5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121</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高中化学配套实验仪器1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122</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高中化学配套实验仪器2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123</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高中生物组合实验箱（通用）</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4700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124</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高中生物组合实验箱（分子与细胞）</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2200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125</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高中生物组合实验箱（遗传与进化）</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126</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高中生物组合实验箱（稳态与调节、生物与环境）</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127</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高中生物组合实验箱（生物技术与工程）</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智能生物显微镜</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8600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1"/>
              <w:jc w:val="center"/>
              <w:spacing w:line="264" w:lineRule="auto"/>
              <w:rPr>
                <w:rFonts w:ascii="宋体" w:hAnsi="宋体" w:cs="宋体"/>
                <w:color w:val="000000"/>
                <w:szCs w:val="21"/>
                <w:highlight w:val="none"/>
              </w:rPr>
            </w:pPr>
            <w:r>
              <w:rPr>
                <w:rFonts w:hint="eastAsia" w:ascii="宋体" w:hAnsi="宋体" w:cs="宋体"/>
                <w:color w:val="000000"/>
                <w:szCs w:val="21"/>
                <w:highlight w:val="none"/>
              </w:rPr>
              <w:t xml:space="preserve">主要产品</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工业</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bl>
    <w:p>
      <w:pPr>
        <w:pStyle w:val="881"/>
        <w:ind w:firstLine="480"/>
        <w:jc w:val="left"/>
        <w:spacing w:line="264"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r>
      <w:r/>
    </w:p>
    <w:p>
      <w:pPr>
        <w:pStyle w:val="881"/>
        <w:ind w:firstLine="480"/>
        <w:jc w:val="left"/>
        <w:spacing w:line="264" w:lineRule="auto"/>
        <w:rPr>
          <w:rFonts w:hint="eastAsia" w:ascii="宋体" w:hAnsi="宋体" w:cs="宋体"/>
          <w:b/>
          <w:color w:val="000000"/>
          <w:sz w:val="24"/>
          <w:szCs w:val="24"/>
          <w:highlight w:val="none"/>
        </w:rPr>
        <w:outlineLvl w:val="1"/>
      </w:pPr>
      <w:r>
        <w:rPr>
          <w:rFonts w:hint="eastAsia" w:ascii="黑体" w:hAnsi="黑体" w:eastAsia="黑体" w:cs="黑体"/>
          <w:color w:val="000000"/>
          <w:sz w:val="24"/>
          <w:szCs w:val="24"/>
          <w:highlight w:val="none"/>
        </w:rPr>
        <w:t xml:space="preserve">四、拟采购标的需要满足的技术、商务要求</w:t>
      </w:r>
      <w:r>
        <w:rPr>
          <w:rFonts w:hint="eastAsia" w:ascii="宋体" w:hAnsi="宋体" w:cs="宋体"/>
          <w:b/>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1.产品技术指标</w:t>
      </w:r>
      <w:r>
        <w:rPr>
          <w:rFonts w:hint="eastAsia" w:ascii="宋体" w:hAnsi="宋体" w:cs="宋体"/>
          <w:bCs/>
          <w:color w:val="000000"/>
          <w:sz w:val="24"/>
          <w:szCs w:val="24"/>
          <w:highlight w:val="none"/>
        </w:rPr>
      </w:r>
      <w:r/>
    </w:p>
    <w:tbl>
      <w:tblPr>
        <w:tblW w:w="0" w:type="auto"/>
        <w:tblInd w:w="-10" w:type="dxa"/>
        <w:tblLayout w:type="fixed"/>
        <w:tblCellMar>
          <w:left w:w="108" w:type="dxa"/>
          <w:top w:w="0" w:type="dxa"/>
          <w:right w:w="108" w:type="dxa"/>
          <w:bottom w:w="0" w:type="dxa"/>
        </w:tblCellMar>
        <w:tblLook w:val="04A0" w:firstRow="1" w:lastRow="0" w:firstColumn="1" w:lastColumn="0" w:noHBand="0" w:noVBand="1"/>
      </w:tblPr>
      <w:tblGrid>
        <w:gridCol w:w="612"/>
        <w:gridCol w:w="1110"/>
        <w:gridCol w:w="8142"/>
      </w:tblGrid>
      <w:tr>
        <w:trPr>
          <w:trHeight w:val="7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rPr>
                <w:b/>
                <w:bCs/>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名称</w:t>
            </w:r>
            <w:r>
              <w:rPr>
                <w:b/>
                <w:bCs/>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center"/>
              <w:spacing w:line="264" w:lineRule="auto"/>
              <w:rPr>
                <w:rFonts w:hint="eastAsia" w:ascii="宋体" w:hAnsi="宋体" w:cs="宋体"/>
                <w:b/>
                <w:bCs/>
                <w:color w:val="000000"/>
                <w:sz w:val="20"/>
                <w:szCs w:val="20"/>
                <w:highlight w:val="none"/>
              </w:rPr>
            </w:pPr>
            <w:r>
              <w:rPr>
                <w:rFonts w:hint="eastAsia" w:ascii="宋体" w:hAnsi="宋体" w:cs="宋体"/>
                <w:b/>
                <w:bCs/>
                <w:color w:val="000000"/>
                <w:sz w:val="20"/>
                <w:szCs w:val="20"/>
                <w:highlight w:val="none"/>
                <w:lang w:bidi="ar"/>
              </w:rPr>
              <w:t xml:space="preserve">功能、性能、配置要求不低于以下要求</w:t>
            </w:r>
            <w:r>
              <w:rPr>
                <w:b/>
                <w:bCs/>
              </w:rPr>
            </w:r>
            <w:r/>
          </w:p>
        </w:tc>
      </w:tr>
      <w:tr>
        <w:trPr>
          <w:trHeight w:val="26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numPr>
                <w:ilvl w:val="0"/>
                <w:numId w:val="5"/>
              </w:numPr>
              <w:jc w:val="left"/>
              <w:widowControl/>
              <w:tabs>
                <w:tab w:val="left" w:pos="312" w:leader="none"/>
              </w:tabs>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规格（长*宽*高）：≥2250mm*750mm*900mm；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2.台面：采用12.7mm实验室专用实芯理化板，周边成型厚度为25.4mm，防腐蚀、耐酸碱、耐高温、抗菌等。</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3.柜体结构：全钢结构柜体，采用厚≥1.0mm冷轧钢板机压成型、焊接制作，并于适当部位予以补强，表面经耐酸碱环氧树脂粉末烤漆处理，喷涂厚度为100微米以上。表面硬度附着力、耐腐蚀。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7.储存功能：桌面可以做演示实验，下方可存储计算机，交换机，路由器、仪器箱，方便实验仪器管理。</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numPr>
                <w:ilvl w:val="0"/>
                <w:numId w:val="6"/>
              </w:numPr>
              <w:jc w:val="left"/>
              <w:widowControl/>
              <w:tabs>
                <w:tab w:val="left" w:pos="312" w:leader="none"/>
              </w:tabs>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规格（长*宽*高）：≥3000mm*700mm*900mm；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3.柜体：为落地型柜体设计，采用厚1.0mm冷轧钢板机压成型、焊接制作，并于适当部位予以补强，表面经耐酸碱环氧树脂粉末烤漆处理，喷涂厚度为100微米以上。表面硬度附着力、耐腐蚀。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7.存储功能：台面以下装置教师电源主控台，预留多媒体设备（电脑；实物展台、DVD）等设备位置。</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1.规格（长*宽*高）：≥1600mm*700mm*1050mm；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2.材质：饰面刨花+钢架+钢制挡板；</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3.工艺：台面及柜体翻板</w:t>
            </w:r>
            <w:r>
              <w:rPr>
                <w:rFonts w:hint="eastAsia" w:ascii="宋体" w:hAnsi="宋体" w:cs="宋体"/>
                <w:b w:val="0"/>
                <w:bCs w:val="0"/>
                <w:color w:val="000000"/>
                <w:sz w:val="20"/>
                <w:szCs w:val="20"/>
                <w:highlight w:val="none"/>
                <w:lang w:bidi="ar"/>
              </w:rPr>
              <w:t xml:space="preserve">采用25mm厚，其他采用16mm厚 E0级环保饰面刨花板，含水率在6%-8%；饰面为整体板面正负误差在0.3mm以内,甲醛释放量≤0.05mg/m³，采用2mm厚PVC同色封边条，使用高温热熔胶自动化贴合，经全自动封边机封边；配置铰链； 底部配有2个2.5寸PU静音刹车轮，2个2.5寸PU静音轮。挡板采用厚度为0.7mm冷轧钢板冲长条孔，表面经脱脂、磷化、水洗、烘干工艺处理，耐腐蚀、防锈。表面静电喷塑，附着力特强，不脱漆，涂层无漏喷、锈蚀，光滑均匀，色泽一致，无流挂、疙瘩、皱皮、飞漆、无明显粒子、涨边现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4.功能：台面翻板下带液压升降杆，可以实现台面多角度调整；配有2个液压缓冲器，台面翻板下盖时缓冲防夹手；台面翻板前面装有档条，上翻时确保书籍不会掉落； 柜体内部配有2块活动层板便于储物；左侧有2个接线口便于强弱电的接入，推弹式单开门柜。桌脚带刹车轮，移动与固定相互切换。</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实验台（学生）1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规格（长*宽*高）：≥2800mm*600mm*780mm；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①、外观要求：</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的要求，外观为五面坯体，表面釉面为烧成颜色；坯体敲碎后，无空洞、无直径2mm以上气泡、无杂色，为一体实芯坯体；釉面与坯体之间无脱层，釉面与坯体呈一体结构，釉面为烧成颜色，非坯体颜色。</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②、耐化学腐蚀性能：为保证台面耐化学腐蚀的稳定性，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T/CIQA10-2020标准，台面耐化学腐蚀性不低于GLA级。</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③、抗冲击性能：为保证台面使用的安全性，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T/CIQA10-2020标准，台面抗冲击性（恢复系数）不低于0.86。</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④、防潮要求：为保证台面防潮、防霉的性能，</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GB/T4100-2015（陶瓷砖）附录G标准，台面吸水率测试平均值≤0.05％。</w:t>
            </w:r>
            <w:r>
              <w:rPr>
                <w:b w:val="0"/>
                <w:bCs w:val="0"/>
              </w:rPr>
            </w:r>
            <w:r/>
          </w:p>
          <w:p>
            <w:pPr>
              <w:pStyle w:val="881"/>
              <w:jc w:val="left"/>
              <w:spacing w:line="264" w:lineRule="auto"/>
              <w:rPr>
                <w:rFonts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⑤、</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颜色稳定性：为保证台面的美观度，</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GB/T17657-2022标准,耐光色牢度不低于4级。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实验台（学生）2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1.规格（长*宽*高）：≥3000mm*1200mm*780mm；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①、外观要求：</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的要求，外观为五面坯体，表面釉面为烧成颜色；坯体敲碎后，无空洞、无直径2mm以上气泡、无杂色，为一体实芯坯体；釉面与坯体之间无脱层，釉面与坯体呈一体结构，釉面为烧成颜色，非坯体颜色。</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②、耐化学腐蚀性能：为保证台面耐化学腐蚀的稳定性，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T/CIQA10-2020标准，台面耐化学腐蚀性不低于GLA级。</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③、抗冲击性能：为保证台面使用的安全性，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T/CIQA10-2020标准，台面抗冲击性（恢复系数）不低于0.86。</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④、防潮要求：为保证台面防潮、防霉的性能，</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GB/T4100-2015（陶瓷砖）附录G标准，台面吸水率测试平均值≤0.05％。</w:t>
            </w:r>
            <w:r>
              <w:rPr>
                <w:b w:val="0"/>
                <w:bCs w:val="0"/>
              </w:rPr>
            </w:r>
            <w:r/>
          </w:p>
          <w:p>
            <w:pPr>
              <w:pStyle w:val="881"/>
              <w:jc w:val="left"/>
              <w:spacing w:line="264" w:lineRule="auto"/>
              <w:rPr>
                <w:rFonts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⑤、</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颜色稳定性：为保证台面的美观度，</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GB/T17657-2022标准,耐光色牢度不低于4级。3.柜体：采用1.0mm冷扎钢板，表面经耐酸碱环氧树脂粉末烤漆处理（烤漆膜厚度平均值≥70μm），表面硬度附着力、耐腐蚀。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实验台（学生）3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1.规格（长*宽*高）：≥1800mm*1200mm*780mm；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①、外观要求：</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的要求，外观为五面坯体，表面釉面为烧成颜色；坯体敲碎后，无空洞、无直径2mm以上气泡、无杂色，为一体实芯坯体；釉面与坯体之间无脱层，釉面与坯体呈一体结构，釉面为烧成颜色，非坯体颜色。</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②、耐化学腐蚀性能：为保证台面耐化学腐蚀的稳定性，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T/CIQA10-2020标准，台面耐化学腐蚀性不低于GLA级。</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③、抗冲击性能：为保证台面使用的安全性，</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T/CIQA10-2020标准，台面抗冲击性（恢复系数）不低于0.86。</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④、防潮要求：为保证台面防潮、防霉的性能，</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GB/T4100-2015（陶瓷砖）附录G标准，台面吸水率测试平均值≤0.05％。</w:t>
            </w:r>
            <w:r>
              <w:rPr>
                <w:b w:val="0"/>
                <w:bCs w:val="0"/>
              </w:rPr>
            </w:r>
            <w:r/>
          </w:p>
          <w:p>
            <w:pPr>
              <w:pStyle w:val="881"/>
              <w:jc w:val="left"/>
              <w:spacing w:line="264" w:lineRule="auto"/>
              <w:rPr>
                <w:rFonts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⑤、</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颜色稳定性：为保证台面的美观度，</w:t>
            </w:r>
            <w:r>
              <w:rPr>
                <w:rFonts w:hint="eastAsia" w:ascii="宋体" w:hAnsi="宋体" w:cs="宋体"/>
                <w:b w:val="0"/>
                <w:bCs w:val="0"/>
                <w:color w:val="000000"/>
                <w:sz w:val="20"/>
                <w:szCs w:val="20"/>
                <w:highlight w:val="none"/>
                <w:lang w:eastAsia="zh-CN" w:bidi="ar"/>
              </w:rPr>
              <w:t xml:space="preserve">符合</w:t>
            </w:r>
            <w:r>
              <w:rPr>
                <w:rFonts w:hint="eastAsia" w:ascii="宋体" w:hAnsi="宋体" w:cs="宋体"/>
                <w:b w:val="0"/>
                <w:bCs w:val="0"/>
                <w:color w:val="000000"/>
                <w:sz w:val="20"/>
                <w:szCs w:val="20"/>
                <w:highlight w:val="none"/>
                <w:lang w:bidi="ar"/>
              </w:rPr>
              <w:t xml:space="preserve">GB/T17657-2022标准,耐光色牢度不低于4级。3.柜体：采用1.0mm冷扎钢板，表面经耐酸碱环氧树脂粉末烤漆处理（烤漆膜厚度平均值≥70μm），表面硬度附着力、耐腐蚀。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实验台（学生）4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1.规格（长*宽*高）：≥1280mm*650mm*820mm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2、台面：采用实芯理化板面板，可抵御多种强酸强碱及有机溶剂的腐蚀.表面光滑，不惧明火，耐极高温度，不易藏污纳垢，台面围边一体注塑成型：1280mm*320mm*35mm,厚度40mm内置挡板固定槽；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3、挡板：采用PP板材压制一体成型,具有防器皿滑落等功能；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4、抽屉：全封闭式防护，可放置仪器等实验用品，抽送轻滑无噪音，强度高，能正常使用五万次以上，长期负重不变形；</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5、立柱：采用125mm*48mm，壁厚1.5mm铝合金型材加工而成，外观环保喷涂防氧化处理，横截面与桌脚M6螺丝固定，提高稳定性；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6、横梁：采用35mm*31mm，壁厚1.5mm铝合金型材加工而成，外观流线形设计，简洁美观；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7、桌腿：长570mm宽58mm高96mm，壁厚3mm采用铝合金压铸模具一次性成型。表面设有270mm*20mm塑料装饰条，外观环保喷涂防氧化处理，与立柱端面平滑过渡，整体圆角过渡，防碰伤安全设计；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8、侧装饰板：由上侧板、下侧板、装饰条三件组成，采用ABS环保塑料注塑成型，最大外形650mm*385mm*2.5mm；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9、装饰条：外观规格约为350mm*42mm*2.5mm，采用ABS材质,模具注塑一体成型，颜色搭配，外形美观，设计人性化。</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实验柜（学生）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1.规格（长*宽*高）：≥430mm*470mm*660mm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2.采用ABS材料注塑模具成型，正面设有60mm*24mm标识卡槽，周边加厚加强，镂空造型，造型时尚；产品功能：无味无毒、无甲醛释放、强度坚韧、不易变形、耐酸、耐碱、抗腐蚀、防尘防水等功能。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3.小抽屉尺寸：高405mm×宽350mm×深100mm；大抽屉尺寸：高405mm×宽350mm×深130mm，材质：产品主材由ABS塑料制成，强度高、韧性好、耐冲击，不易腐蚀，无毒无味，环保耐用。。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4.拆装连接结构，组装方便，不用胶水粘结不易变形、不易扭曲，达到可重复拆装使用。合理布局加强筋使用平行加强筋，既结实又易于清理卫生。顶板和底板厚度要求不小于30mm，四周保证全与地面接触。</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实验台（钢制边台）1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1.规格（长*宽*高）：≥8200mm*600mm*780mm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4.导轨：三节式，静音。</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5.拉手：采用C型不锈钢拉手，造型美观。</w:t>
            </w:r>
            <w:r>
              <w:rPr>
                <w:b w:val="0"/>
                <w:bCs w:val="0"/>
              </w:rPr>
            </w:r>
            <w:r/>
          </w:p>
          <w:p>
            <w:pPr>
              <w:pStyle w:val="881"/>
              <w:jc w:val="left"/>
              <w:spacing w:line="264" w:lineRule="auto"/>
              <w:rPr>
                <w:rFonts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实验台（钢制边台）2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1.规格（长*宽*高）：≥9900mm*600mm*780mm2.台面：采用20mm厚无甲醛新型环保陶瓷台面，台面表面为实验室专业耐腐蚀、耐刻刮、耐污染釉面。坯体一体实芯黑色坯体，釉面和坯体经高温一体烧结而成。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实验台（钢制边台）3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1.规格（长*宽*高）：≥10000mm*600mm*780mm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26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1.规格（长*宽*高）：≥2400mm*750mm*800mm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1.规格（长*宽*高）：≥3000mm*750mm*800mm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1.规格（长*宽*高）：≥5000mm*750mm*800mm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2.台面：采用20mm厚无甲醛新型环保陶瓷台面，台面表面为实验室专业耐腐蚀、耐刻刮、耐污染釉面。坯体一体实芯黑色坯体，釉面和坯体经高温一体烧结而成。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3.柜体：采用1.0mm冷扎钢板，表面经耐酸碱环氧树脂粉末烤漆处理（烤漆膜厚度平均值≥70μm），表面硬度附着力、耐腐蚀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4.导轨：三节式，静音。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5.拉手：采用C型不锈钢拉手，造型美观。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6.防撞胶垫：装于抽屉及门板内侧，减缓碰撞，保护柜体。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1.规格（长*宽*高）：≥400mm*300mm*430mm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2.凳面：采用厚1.0mm冷轧钢板机压成型、焊接制作，并于适当部位予以补强，表面经耐酸碱环氧树脂粉末烤漆处理，喷涂厚度为100微米以上。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框架：采用25mm*25mm方钢型材焊接制作成型，所有钢制配件经过酸洗、磷化、除油、除锈并经过对酸碱和其它化学试剂有极高的环氧树脂金属粉末喷涂高温固化处理。并经高温固化在型材表面之上，具有不脱落、耐腐蚀功能；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4.脚垫：塑料专用垫，并能有效防止桌身受潮，延长设备的使用寿命。</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1.规格(直径*H)：≥300mm*450mm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2.凳面：采用环保PP塑料一次性注塑成型，表面菱形凹凸纹路，防滑、耐磨不发光；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3支撑柱：采用直径50mm圆钢管，顶端为直径200mm钢板，采用全周满焊焊接，结构牢固，长期使用也不会出现摇晃松散现象；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4.下端虎爪状凳脚采用铝合金一体压铸成型，爪端预留螺丝眼，配工程塑料脚盘，所有金属材料表面经过防腐氧化处理和纯环氧树脂塑粉高温固化处理，耐蚀性及承重性强。</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1.规格：≥62</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mm*59</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mm*92</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mm-102</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2.座背：网布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3.木板：座曲压10mm厚木板（经过防腐防虫处理）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4.海棉：高密度海棉，回弹力好，不变形</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5.扶手：PP固定扶手</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6.底盘：普通底盘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7.轮：尼龙轮</w:t>
            </w:r>
            <w:r>
              <w:rPr>
                <w:b w:val="0"/>
                <w:bCs w:val="0"/>
              </w:rPr>
            </w:r>
            <w:r/>
          </w:p>
        </w:tc>
      </w:tr>
      <w:tr>
        <w:trPr>
          <w:trHeight w:val="73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试剂架1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numPr>
                <w:ilvl w:val="0"/>
                <w:numId w:val="7"/>
              </w:numPr>
              <w:jc w:val="left"/>
              <w:widowControl/>
              <w:tabs>
                <w:tab w:val="left" w:pos="312" w:leader="none"/>
              </w:tabs>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长*宽*高）：≥2350mm*300mm*450mm采用台面安装式；三角形立柱，内有足够空间以便管线隐藏敷设，且立柱外表面钢板，易拆卸以便维修；每个层板采用10mm厚单面磨砂钢化玻璃；层板外边缘采用304#不锈钢材质护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2.试剂架配有贴立柱放置的90度垂直钢制立柱配插座，以便节省实验台上的空间及加强试剂架稳定性。</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试剂架2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1.规格（长*宽*高）：≥1800mm*300mm*450mm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采用台面安装式；三角形立柱，内有足够空间以便管线隐藏敷设，且立柱外表面钢板，易拆卸以便维修；每个层板采用10mm厚单面磨砂钢化玻璃；层板外边缘采用304#不锈钢材质护栏。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试剂架配有贴立柱放置的90度垂直钢制立柱配插座，以便节省实验台上的空间及加强试剂架稳定性。</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试剂架3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1.规格（长*宽*高）：≥3000mm*250mm*750mm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2.铝合金结构，表面喷涂高温固化匀乳白环氧树脂喷涂理处理，耐蚀性能强，上下带塑胶模具堵头。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3.试剂架立柱截面尺寸：40mm*100mm, 型材壁厚1.5mm；试剂架立柱双面升降槽，侧面双面镶嵌另色色条；试剂架托架2.0mm冷轧板，一次性冲压成型；试剂架护栏：护栏壁厚1.2mm，单面镶嵌另色色条。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4.立杆牢固固定于桌面，层板采用12mm厚的玻璃，安装后用户可根据试剂大小上下高低无级调节。</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试剂架4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1.规格（长*宽*高）：≥4200mm*300mm*750mm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2.铝合金结构，表面喷涂高温固化匀乳白环氧树脂喷涂理处理，耐蚀性能强，上下带塑胶模具堵头。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3.试剂架立柱截面尺寸：40mm*100mm, 型材壁厚1.5mm；试剂架立柱双面升降槽，侧面双面镶嵌另色色条；试剂架托架2.0mm冷轧板，一次性冲压成型；试剂架护栏：护栏壁厚1.2mm，单面镶嵌另色色条。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4.立杆牢固固定于桌面，层板采用12mm厚的玻璃，安装后用户可根据试剂大小上下高低无级调节。</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试剂架5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1.规格（长*宽*高）：≥2200mm*300mm*450mm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2.铝合金结构，表面喷涂高温固化匀乳白环氧树脂喷涂理处理，耐蚀性能强，上下带塑胶模具堵头。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3.试剂架立柱截面尺寸：40mm*100mm, 型材壁厚1.5mm；试剂架立柱双面升降槽，侧面双面镶嵌另色色条；试剂架托架2.0mm冷轧板，一次性冲压成型；试剂架护栏：护栏壁厚1.2mm，单面镶嵌另色色条。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4.立杆牢固固定于桌面，层板采用12mm厚的玻璃，安装后用户可根据试剂大小上下高低无级调节。</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实验室水槽柜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1.规格：≥长435mm*580mm*800mm/1070mm。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2.柜体:外框尺寸435mm*580mm*750mm，采用ABS材料注塑成型，专用连接件拼装一体化设计，下部内凹130mm，柜门采用人性化弧线型工艺，易碰撞处倒圆角处理。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3.水槽体：内径尺寸：360mm*300mm*195mm，采用PP改性材料注塑成型，壁厚5.0mm。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4.前沿有25mm高挡水沿，耐强酸强碱耐＜80℃有机溶剂并耐150℃以下高温，水槽内带溢水口。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5.三联水嘴： 采用实验室专用三联水嘴90度瓷质阀芯，出水嘴为铜质尖嘴，可拆卸，内有螺纹，铜质表面经过烤漆喷涂处理，增强耐酸碱防腐蚀以及防锈性能，可360度旋转。★政府强制节能产品，签订合同时提供国家确定的认证机构出具的、处于有效期之内的节能产品认证证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6.配有注塑成型PP滴水架，外框尺寸为390mm*65mm/100mm*250mm，配置16个可拆卸式滴水棒，美观实用 ，供洗涤时玻璃器皿的晾干。</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7.配件：三口化验水龙头、洗涤水槽、泥沙杂物过滤器、滴水架、水管管路组成。</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矮柜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1.规格（长*宽*高）：≥1322mm*450mm*1150mm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材质及工艺：顶板采用25mm厚其他采用16mm厚基材为E0级环保饰面刨花板，含水率在3%-5%；饰面整体板面正负误差在0.3mm以内,密度为0.85K/cm³、甲醛释放量≤0.05mg/m³，表面耐磨、防污、硬度高，不易变色。PVC同色封边，底部带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3.其他：均敞格，配小塑料收纳盒；</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4.功能：收纳学习用品、教材备件等。</w:t>
            </w:r>
            <w:r>
              <w:rPr>
                <w:b w:val="0"/>
                <w:bCs w:val="0"/>
              </w:rPr>
            </w:r>
            <w:r/>
          </w:p>
        </w:tc>
      </w:tr>
      <w:tr>
        <w:trPr>
          <w:trHeight w:val="26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书柜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1.规格（长*宽*高）：≥5750mm*400mm*3000mm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顶板采用25mm厚其他采用16mm厚的E0级环保饰面刨花板，含水率在3%-5%；饰面整体板面正负误差在0.3mm以内,密度为0.85g/cm3、甲醛释放量≤0.05mg/m³，PVC同色封边。</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衣帽柜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1.规格（长*宽*高）：≥1000mm*500mm*2000mm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2.柜体材质：为全钢结构，板材采用1.0mm厚钢板为基材，全自动压模成型；表面经磷化、酸洗、环氧树脂粉末烤漆处理，化学防锈处理，无突出漆块，光洁亮丽，抗强酸强碱性能突出。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3.门板：采用上玻璃门下钢制门；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4.玻璃门：采用冷轧钢板，表面经过去锈、磷化、喷砂、环氧树脂粉体烤漆处理，抗酸碱、耐高温，中间镶嵌玻璃。</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5.钢制门：采用冷轧钢板，表面经过去锈、磷化、喷砂、环氧树脂粉体烤漆处理，抗酸碱、耐高温，对开门。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6.拉手：采用不锈钢拉手，外形美观大方，设计人性化。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7.可调脚：采用橡胶模具一次成型地脚。</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1.规格（长*宽*高）：≥1000mm*500mm*2000mm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2.柜体材质：为全钢结构，板材采用1.0mm厚钢板为基材，全自动压模成型；表面经磷化、酸洗、环氧树脂粉末烤漆处理，化学防锈处理，无突出漆块，光洁亮丽，抗强酸强碱性能突出。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3.门板：采用上玻璃门下钢制门；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4.玻璃门：采用冷轧钢板，表面经过去锈、磷化、喷砂、环氧树脂粉体烤漆处理，抗酸碱、耐高温，中间镶嵌玻璃。</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5.钢制门：采用冷轧钢板，表面经过去锈、磷化、喷砂、环氧树脂粉体烤漆处理，抗酸碱、耐高温，对开门。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6.拉手：采用不锈钢拉手，外形美观大方，设计人性化。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7.可调脚：采用橡胶模具一次成型地脚。</w:t>
            </w:r>
            <w:r>
              <w:rPr>
                <w:b w:val="0"/>
                <w:bCs w:val="0"/>
              </w:rPr>
            </w:r>
            <w:r/>
          </w:p>
        </w:tc>
      </w:tr>
      <w:tr>
        <w:trPr>
          <w:trHeight w:val="20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陈列柜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3000mm*500mm*2400mm铝木结构，踢脚线采用铝合金型材，上框铝合金滑槽采用壁厚2.5mm的一体成型带凹槽铝合金模具框架，表面经酸砂处理后喷塑，下框橱体基材采用25mm和16㎜厚环保型三聚氰胺板制作，其截面用2㎜厚PVC封边条机械高温热熔胶封边，粘力强、密封性好，牢固、美观、耐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上部为采用8mm钢化玻璃移门,下部设板式对开门,设活动隔板一块。</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双面标本柜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1.规格（长*宽*高）：≥1000mm*1000mm*2000mm</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柜体结构：铝合金框架结构。上部高1200mm，三面为5mm厚透明白玻镶嵌，正面为金属包边白玻推拉门设计，内部二层8mm厚钢化玻璃活动隔层；下部橱柜高为800mm，采用16mmE1级三聚氰胺刨花板，以PVC配胶王热熔封边作防火、封边处理。不锈钢C型拉手。</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3.脚垫：采用特制模具ABS注塑脚垫，高度为2.5cm，高度可调，可有效防潮。</w:t>
            </w:r>
            <w:r>
              <w:rPr>
                <w:b w:val="0"/>
                <w:bCs w:val="0"/>
              </w:rPr>
            </w:r>
            <w:r/>
          </w:p>
        </w:tc>
      </w:tr>
      <w:tr>
        <w:trPr>
          <w:trHeight w:val="1219"/>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30</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易燃品存柜  </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防爆柜</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（报警装置）</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1.规格：1840mm*900mm *510mm；门类型：双开门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2.易燃品储存柜外壳体全部采用1.2mm的冷轧钢板，柜体底座采用2.0mm的冷轧钢板,内外表面经酸洗磷化环氧树脂粉末喷涂，烘热固化处理。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易燃品储存柜体内胆（上，下、左、右内衬板）均采用PP（聚丙烯树脂）板，厚度4mm；柜底部设置进风口，进风口配有PP（聚丙烯树脂）旋转式可调风阀；柜体的底板中部有Φ10mm漏液孔，漏液孔上面盖上60目304不锈钢网；柜体底部设h=160mm黄沙(防倒）挡板，柜体内部最下层留有可以存放不少于120mm厚黄沙的填埋腔，用于埋放金属钠、黄磷（白磷）等的易燃物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4.柜底装有四个移动尼龙轮，便于易燃品毒害品储存柜移动；前轮后有2个手动调节罗杆，方便危化品储存柜定位。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柜中部有3个一次成型聚丙烯活动层板，层板四周边缘厚度平均值不小于4.4mm;每层阶梯板外延边有积液槽，积液槽高度平均值大于3.4mm，最大可能防止液体外溢；每个搁板靠背板处有一排导风口，阶梯高度不小于50mm（包括积液盘的高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6.柜顶部中间开有φ160mm的出风口，柜顶风口内置一个AC220V 50HZ 0.18A轴流风机，最大风量326m3/h，转速2550转/min,环境温度（-10-+70）摄氏度，无火花静电，控制开关设置柜体顶部的右上角，当风机开机前要把柜门下面中间的进风口推置打开状态。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val="en-US" w:eastAsia="zh-CN" w:bidi="ar"/>
              </w:rPr>
              <w:t xml:space="preserve">7</w:t>
            </w:r>
            <w:r>
              <w:rPr>
                <w:rFonts w:hint="eastAsia" w:ascii="宋体" w:hAnsi="宋体" w:cs="宋体"/>
                <w:b w:val="0"/>
                <w:bCs w:val="0"/>
                <w:color w:val="000000"/>
                <w:sz w:val="20"/>
                <w:szCs w:val="20"/>
                <w:highlight w:val="none"/>
                <w:lang w:bidi="ar"/>
              </w:rPr>
              <w:t xml:space="preserve">.密封件：柜体门与柜体之间应安装防火膨胀密封件。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8.陶瓷纤维棉：柜体应填充具有保温隔热作用的陶瓷纤维棉（密度130㎏/m3 ，厚度:40mm）。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9.铰链：铰链应为钢琴式铰链，确保门能开180度。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10.电子密码锁：柜体配备电子密</w:t>
            </w:r>
            <w:r>
              <w:rPr>
                <w:rFonts w:hint="eastAsia" w:ascii="宋体" w:hAnsi="宋体" w:cs="宋体"/>
                <w:b w:val="0"/>
                <w:bCs w:val="0"/>
                <w:color w:val="000000"/>
                <w:sz w:val="20"/>
                <w:szCs w:val="20"/>
                <w:highlight w:val="none"/>
                <w:lang w:bidi="ar"/>
              </w:rPr>
              <w:t xml:space="preserve">码锁和机械锁，实现双人双锁管理，同时锁具具有开锁记录查询功能及隐码功能；天地锁锁舌选用坚韧且有弹性的高分子合成塑料制成，耐磨且抗腐蚀性能极强。                                                                                                                                       11.环保性能：国标规定，室内甲醛含量不得超过0.08mg.m3;苯含量不得超过0.09mg.m3。</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12.通风控制装置：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柜体底部应设置进风口及可调风阀，可调风阀旋转灵活，并能控制风量大小。通风管道口径宜采用Φ160mm，通风管应耐高温、阻燃、耐腐蚀，符合JGJ 141的要求。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13.温湿度及VOC传感器控制报警装置：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13.1高灵敏度电化学探头，精确度高、响应快、稳定性强，探头测量精度不超过±5%。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13.2高精度探头，精确监测温湿度：柜顶应配置温湿度控制器，对柜内相对温湿度实时监控，操作屏可自行设定测量值，柜内的温湿度如超过设定的测量值即时报警提示，同时风机启动，直至低于设定值，风机停止运行或低速运行。温度启控-10—70℃，湿度启控0—99.9％RH；时控开关，能根据用户设定的时间自动打开和关闭风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13.3集时控开关、温湿度值、VOC浓度值显示于一体的7英寸液晶工业显示屏，尺寸160</w:t>
            </w:r>
            <w:r>
              <w:rPr>
                <w:rFonts w:hint="eastAsia" w:ascii="宋体" w:hAnsi="宋体" w:cs="宋体"/>
                <w:b w:val="0"/>
                <w:bCs w:val="0"/>
                <w:color w:val="000000"/>
                <w:sz w:val="20"/>
                <w:szCs w:val="20"/>
                <w:highlight w:val="none"/>
                <w:lang w:val="en-US" w:eastAsia="zh-CN" w:bidi="ar"/>
              </w:rPr>
              <w:t xml:space="preserve">mm</w:t>
            </w:r>
            <w:r>
              <w:rPr>
                <w:rFonts w:hint="eastAsia" w:ascii="宋体" w:hAnsi="宋体" w:cs="宋体"/>
                <w:b w:val="0"/>
                <w:bCs w:val="0"/>
                <w:color w:val="000000"/>
                <w:sz w:val="20"/>
                <w:szCs w:val="20"/>
                <w:highlight w:val="none"/>
                <w:lang w:bidi="ar"/>
              </w:rPr>
              <w:t xml:space="preserve">*100</w:t>
            </w:r>
            <w:r>
              <w:rPr>
                <w:rFonts w:hint="eastAsia" w:ascii="宋体" w:hAnsi="宋体" w:cs="宋体"/>
                <w:b w:val="0"/>
                <w:bCs w:val="0"/>
                <w:color w:val="000000"/>
                <w:sz w:val="20"/>
                <w:szCs w:val="20"/>
                <w:highlight w:val="none"/>
                <w:lang w:val="en-US" w:eastAsia="zh-CN" w:bidi="ar"/>
              </w:rPr>
              <w:t xml:space="preserve">mm</w:t>
            </w:r>
            <w:r>
              <w:rPr>
                <w:rFonts w:hint="eastAsia" w:ascii="宋体" w:hAnsi="宋体" w:cs="宋体"/>
                <w:b w:val="0"/>
                <w:bCs w:val="0"/>
                <w:color w:val="000000"/>
                <w:sz w:val="20"/>
                <w:szCs w:val="20"/>
                <w:highlight w:val="none"/>
                <w:lang w:bidi="ar"/>
              </w:rPr>
              <w:t xml:space="preserve">，分辨率1024*600像素 ，具备16位真彩色，防爆、防水、防腐蚀，可触摸控制，方便老师操作。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13.4对于温湿度的监测，用户可自行设置合适的报警点，提高实验室安全等级。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14.配备接地装置实现完全接地。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15.装箱时柜内外的说明标识：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《易燃品毒害品储存柜使用说明书》，《合格证》，《安全储存说明书》，柜门上贴有反光警示标签。</w:t>
            </w:r>
            <w:r>
              <w:rPr>
                <w:b w:val="0"/>
                <w:bCs w:val="0"/>
              </w:rPr>
            </w:r>
            <w:r/>
          </w:p>
        </w:tc>
      </w:tr>
      <w:tr>
        <w:trPr>
          <w:trHeight w:val="346"/>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水槽(小）</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规格：≥440mm*340mm*280mm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实验室专用PP一体化成型水槽，耐腐蚀，耐酸碱、耐有机溶剂、耐紫外线。</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规格：≥550mm*450mm*310mm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实验室专用PP一体化成型水槽，耐腐蚀，耐酸碱、耐有机溶剂、耐紫外线。</w:t>
            </w:r>
            <w:r>
              <w:rPr>
                <w:b w:val="0"/>
                <w:bCs w:val="0"/>
              </w:rPr>
            </w:r>
            <w:r/>
          </w:p>
        </w:tc>
      </w:tr>
      <w:tr>
        <w:trPr>
          <w:trHeight w:val="3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三联。实验室专用化验水嘴、铜质陶瓷芯阀，表面经环氧树脂喷涂处理。</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★政府强制节能产品，签订合同时提供国家确定的认证机构出具的、处于有效期之内的节能产品认证证书。</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单面滴水架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规格：≥400mm*280mm*550mm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采用高强度PP材料，耐腐蚀，不易老化；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模具一体成型，底部集水盘设有排水口及软管；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可拆卸式滴水棒，使用方便，拆卸后可盖上孔塞，美观实用；</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台式洗眼器装置</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双口。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1、喷头：软性橡胶，出水经缓压处理呈泡沫状水柱，防止冲伤眼睛。</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2、防尘盖：PP材质，使用时自动被水冲开；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3、水流开关：水流开启、水流锁定功能一并完成，方便使用；</w:t>
            </w:r>
            <w:r>
              <w:rPr>
                <w:b w:val="0"/>
                <w:bCs w:val="0"/>
              </w:rPr>
            </w:r>
            <w:r/>
          </w:p>
        </w:tc>
      </w:tr>
      <w:tr>
        <w:trPr>
          <w:trHeight w:val="55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教师主控电源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规格：≥460mm*360mm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1.控制显示采用液晶真彩触摸屏和数据显示一体化。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2.具备1个220V交流电源输出插座。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3.系统具备漏电保护功能。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4.可对学生机锁定，锁定后学生键盘无效，和教师机保持同步。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5.密码控制，本产品由教师输入正确的密码，方可启动实验电源的控制系统（教师可自定密码），对电源控制台进行操作防误操作方便教师合理安排实验。　</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6.通过教师控制界面可设置直流1.5-30V分辨率0.1V,交流1-30V分辨率1V，具备过载保护点智能侦测功能，电流高于过载保护功点则自动保护，电流低于过载保护点则自动恢复至设定值。</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辅助光源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台式。长度600mm,20W光源；亮度高，独立开关，光照角度可调。</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86型五孔插座，10A。</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边台电源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86型五孔插座，10A，钢制电源盒</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3D实验室软件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PC单机版。</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 要求所有实验支持在任意视角下对实验进行观察和交互式操作。要求所有实验中的模型为3D高精度模型，支持无极放大，实验模型高保真。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2.软件要求提供与国家课程标准中知识点同步的实验，应包含分子与细胞、遗传与进化、稳态与调节、生物技术与工程等实验内容与实验场景，完整实验数量不少于50个。</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软件要求提供中学生物学科高清显微素材库，素材图片数量不少于75张，每张都支持4X、10X、40X物镜进行观察。所有素材库图片都支持使用显微镜进行仿真实验操作，完全模拟真实操作。并支持一键切换至全景图模式。图片支持自由移动和缩放。</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4.软件要求提供人体生理结构探究模块，涵盖运动系统、神经系统、内分泌系统、血液循环系统和淋巴和免疫系统等9大系统，要求不少于4个人体系统支持器官自由拆分，组合，并配以相关文字说明。</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软件要求提供人体生理功能模块，其中包括人体内物质的运输、人体的呼吸、人体内废物的排出、人体的营养、人体的运动、人体生命活动的调节、人的生殖与发育等知识点，数量不少于50个，包括模型、动画以及教学互动场景。重点器官和系统支持自由拆分，组合。</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t xml:space="preserve">签订合同时提供软件功能截图证明文件。</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6.软件要求提供微观世界模块，涵盖真核生物、原核生物、病毒和亚病毒、分子与细胞、遗传与进化等知识点，数量不少于80个。支持任意视角对实验对象进行独立观察、展示。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7.软件要求提供中学生物实验对象库，支持任意视角对实验对象进行独立观察、展示。重点实验器材及生物对象支持自由拆分，组合。</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8.以上所有软件功能要求在同一软件系统平台中进行操作。方便用户管理、使用。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3D实验室软件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PC单机版。</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1.要求所有实验支持在任意视角下对实验进行观察和交互式操作。要求所有实验中的模型为3D高精度模型，支持无极放大，实验模型高保真。</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2.软件要求提供与国家课程标准中知识点同步的实验，完整实验数量不少于100个。支持在实验目录页即可直接查看具体的实验内容简介。</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3.软件要求提供的中学物理实验内容模块需根据知识点分类，其中包含磁场，光及其应用，热力学定律，原子与原子核等实验内容与实验场景。</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Style w:val="1007"/>
                <w:b w:val="0"/>
                <w:bCs w:val="0"/>
                <w:color w:val="000000"/>
                <w:highlight w:val="none"/>
                <w:lang w:bidi="ar"/>
              </w:rPr>
              <w:t xml:space="preserve">▲</w:t>
            </w:r>
            <w:r>
              <w:rPr>
                <w:rFonts w:hint="eastAsia" w:ascii="宋体" w:hAnsi="宋体" w:cs="宋体"/>
                <w:b w:val="0"/>
                <w:bCs w:val="0"/>
                <w:color w:val="000000"/>
                <w:sz w:val="20"/>
                <w:szCs w:val="20"/>
                <w:highlight w:val="none"/>
                <w:lang w:bidi="ar"/>
              </w:rPr>
              <w:t xml:space="preserve">4.软件要求提供可供自由搭建，组合的电学实验探究平台、力学和运动学探究平台、光学探究平台，其中要求提供的可搭建实验对象数量不少于75款，要求搭建出的实验不仅能够逼真准确的呈现实验现象，并能同步显示相关的实验动态数据，实验数据要求具有严谨的科学性。用户创建的实验可以保存和再编辑。其中电学探究平台要求可以在实验中以箭头的形式清晰明了的显示出电流大小及方向。签订合同时提供软件功能截图证明文件</w:t>
            </w:r>
            <w:r>
              <w:rPr>
                <w:rFonts w:hint="eastAsia" w:ascii="宋体" w:hAnsi="宋体" w:cs="宋体"/>
                <w:b w:val="0"/>
                <w:bCs w:val="0"/>
                <w:color w:val="000000"/>
                <w:sz w:val="20"/>
                <w:szCs w:val="20"/>
                <w:highlight w:val="none"/>
                <w:lang w:eastAsia="zh-CN" w:bidi="ar"/>
              </w:rPr>
              <w:t xml:space="preserve">。</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5.软件提供实验截屏和微视频录制功能，支持用户在实验过程中，根据教学需求自由选择功能存储。</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6.软件要求支持画笔功能，能够在实验操作界面添加标注、进行重点区域圈划等，画笔笔迹支持撤销、删除，便于老师在实验讲解过程中进行重难点圈注。</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7.以上所有软件功能要求在同一软件系统平台中进行操作。</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实验多目教学示范仪</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1.具有三摄像头，1个主摄像头2个辅助摄像头，整机≤5kg；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2.整机一体化设计，机身整体高度≤536mm，底座长宽≤265mm*128mm，主摄像头臂杆长宽≤462mm*55mm，侧拍摄像头臂杆和主摄像头支柱夹角≤30度，侧拍摄像头可折叠臂杆长度≤260mm；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3.整机待机电流：12V/150mA；整机负载工作电流：12V/450mA；</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4.具备辅助照明LED，可以调整亮度；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主摄像头：像素≥800W；分辨率≥3264*2448；对焦方式：定焦；扫描幅面≥A3；光学解像力≥A3幅面170lp/mm；球形畸变&lt;1.5%；梯形失真&lt;1.5%；出图响应时间&lt;3S；自动过曝控制；图像帧率3264×2448@15帧；图像色彩≥24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6.侧拍辅助摄像头采用活动机身，支持折叠，支持摄像头旋转调节拍摄位置；▲</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t xml:space="preserve">签订合同时提供不同角度的折叠及旋转真实场景图片</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7.侧拍辅助摄像头：像素≥500W；分辨率≥2592*1944；扫描幅面≥A4；光学解像力≥A4幅面170lp/mm；球形畸变&lt;1.5%；梯形失真&lt;1.5%；出图响应时间&lt;1S；自动过曝控制；图像帧率2592*1944@10帧；图像色彩≥24位；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8.顶部辅助摄像头采用活动摄像头，支持0-270度任意角度旋转调整；▲</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t xml:space="preserve">签订合同时提供不同旋转角度的真实场景图片</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9.顶部辅助摄像头：像素≥200W；对焦方式：定焦；球形畸变&lt;5%；梯形失真&lt;5%；出图响应时间&lt;1S；图像色彩≥24位。</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实验教学直播示范系统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1.支持接入多目教学示范仪进行书写示范教学；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2.支持示范画面自由组合切换成画中画、双画面、单画面等格式；▲</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t xml:space="preserve">签订合同时提供产品功能真实场景界面截图</w:t>
            </w:r>
            <w:r>
              <w:rPr>
                <w:rFonts w:hint="eastAsia" w:ascii="宋体" w:hAnsi="宋体" w:cs="宋体"/>
                <w:b w:val="0"/>
                <w:bCs w:val="0"/>
                <w:color w:val="000000"/>
                <w:sz w:val="20"/>
                <w:szCs w:val="20"/>
                <w:highlight w:val="none"/>
                <w:lang w:val="en-US" w:eastAsia="zh-CN" w:bidi="ar"/>
              </w:rPr>
              <w:t xml:space="preserve">)</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3.支持视频画面接入大屏进行示范教学；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4.支持录制高清示范视频，录制视频可作为微课资源；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5.录制视频时支持同步录制教学音频；</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6.支持截取示范视频画面为图片；</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7.系统支持屏幕任意批注功能；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8.支持教学软件界面录制信号和多目教学示范仪视频信号同步采集；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9.自动合成微课视频文件，提供文件管理维护功能，支持下载、上传、删除、重命名以及文件管理功能。</w:t>
            </w:r>
            <w:r>
              <w:rPr>
                <w:b w:val="0"/>
                <w:bCs w:val="0"/>
              </w:rPr>
            </w:r>
            <w:r/>
          </w:p>
        </w:tc>
      </w:tr>
      <w:tr>
        <w:trPr>
          <w:trHeight w:val="40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吊装系统控制面板及APP</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8英寸。</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（1）控制模式：远程控制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（2）控制工具：安卓系统8英寸全高清屏幕</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（3）控制功能:有线、无线</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（A）通风控制：可精确控制通风风量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（B）供水控制：集中控制整室给排水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（C）照明控制：分组控制整室照明</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（D）电源控制：控制学生AC220V电源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（E）摇臂控制：摇臂的升起与降落</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吊装控制系统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numPr>
                <w:ilvl w:val="0"/>
                <w:numId w:val="8"/>
              </w:numPr>
              <w:jc w:val="left"/>
              <w:widowControl/>
              <w:tabs>
                <w:tab w:val="left" w:pos="312" w:leader="none"/>
              </w:tabs>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1.控制模式：安全模式一键启动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2.配备电气：（A）漏电保护开关（B）固态继电器（C）开关电源（D）网络控制开关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无线教学扩声主机整机尺寸长≤150mm，外壳ABS材质；主机设备采用数字音频处理器，无线发射和接收一体式设计；无线频段：450Mhz～700Mhz，支持NFC配对，具有配对指示灯提示功能；可通过拨码对UHF的接收和发射频道（频点）进行选择，具有OLED显示屏，可显示当前UFH接收和发射的频率点和蓝牙开启和关闭的状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4.无线教学扩声主机通信协议：支持无线UHF。信噪比:（麦克风-主机）：≥83dB；（主机线路-主机）：≥83dB。总谐波失真:≤0.12%。▲检测依据GB/T 20138-2006电器设备外壳对外界机械碰撞的防护等级（IK代码），检测结果：设备外壳对外界机械碰撞达到IK02的防护等级，签订合同时提供带有CMA标志的检测报告及检测报告编号在全国认证认可信息公共服务平台的查询证明复印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一体化无感拾音麦克风；麦克风阵列：≥2单元麦克风模组阵列；麦克风内置高性能ARM音频处理器，内置音频算法，超低信号处理延时，能有效过滤噪音，真实还原人声，无需额外配置音频算法处理主机；调试接口：支持现场调试和软件升级，可通过USB接口对麦克风进行现场参数调试设置和软件升级；可通过遥控器控制麦克风的开启、关闭，调节音量大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6.一体化无感拾音麦克风灵敏度：-44dB(V/Pa)±3dB@1kHz，信噪比：≥62dB(A)。采样率：≥16K采样率。支持自适应波束。信号处理延时：≤18ms。支持噪声抑制(ANS)。支持自动混响抑制。▲检测依据GB/T 4208-2017外壳防护等级（IP代码），对设备进行IP20检测，所检项目符合要求，签订合同时提供第三方检测机构出具的封面带有CMA标志的检测报告及检测报告编号在全国认证认可信息公共服务平台的查询证明复印件。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7.无线扩声器外壳材质：ABS材质，采用全音域喇叭与导向式音箱设计，音色饱满；整机尺寸：≤300mm。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8.无线扩声器支持专业数字U段无线传输，信噪比：≥80dB@1W，输入灵敏度：（-20dbFS）-0dbFS，失真度（失真+噪声）：＜0.5%@1W。▲检测依据GB/T 4208-2017外壳防护等级（IP代码），对设备进行IP20检测，所检项目符合要求，签订合同时提供第三方检测机构出具的封面带有CMA标志的检测报告及检测报告编号在全国认证认可信息公共服务平台的查询证明复印件。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无线麦克风整机尺寸长≤150mm，外壳ABS材质；麦克风类型：全指向性驻极体，使用寿命：≥280个循环，咪头灵敏度：-32dBV/Pa±2dB，咪头频率响应：100Hz～20KHz，无线频段：450Mhz～700Mhz，咪头最大声压级：≥110dB@(THD&lt;3%)，咪头信噪比：≥70dB@(f=1KHZ,S.P.L=1Pa，A-weighted)；具有音量大小调节、PPT翻页和激光笔功能，使用时无固定位置要求，在教室范围内可自由移动。</w:t>
            </w:r>
            <w:r>
              <w:rPr>
                <w:b w:val="0"/>
                <w:bCs w:val="0"/>
              </w:rPr>
            </w:r>
            <w:r/>
          </w:p>
        </w:tc>
      </w:tr>
      <w:tr>
        <w:trPr>
          <w:trHeight w:val="153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化学吊装式控制设备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1.规格：≥1200mm*766mm*300mm为一组（可根据环境尺寸调整长度）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2.材质：铝合金型材、冷轧板经过酸洗、磷化、除油、除锈并经过“环氧树脂”粉末喷涂固化处理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3.组合模式：标准模块化（特殊环境可定做）</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一、膨胀螺丝与现浇楼板的安装方式及要求：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1、膨胀原理：是通过螺纹的轴向移动使圆锥部分移动，进而在膨胀管的外周面形成很大的正压力，加之圆锥的角度很小，从而使墙体、膨胀管及圆锥间形成摩擦自锁，进而达到固定作用。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2、安装方法：现浇楼板有足够的抗挤压性，符合国家标准《混凝土结构设计规范》。钻孔与膨胀管间间隙不要过大，（间隙值小于膨胀管直径的十分之一）。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圆锥部分切实埋入孔内，并尽可能深，螺纹部分务必拧紧（注意千万别逸扣）。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二、 膨胀螺丝的材质要求、选型及承重要求：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1、膨胀螺丝材质：选用Q235、35/45#钢等（含A3钢、碳钢），符合国家标准：JB/ZQ4763-2006。</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2、膨胀螺丝型号：M10*90mm。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3、膨胀螺丝承重：拉力≧390KG，剪力：≧165KG。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吊装装置安装在教室顶部现浇或预制楼板位置，设备自重超标涉及学生安全问题，所以安装时须进行膨胀螺丝安装拉拔试验并提供拉拔检测报告，且化学实验室的每组吊装设备自重需≤60kg（现场随机检测自重）。</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物理吊装式控制设备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1.规格：≥1200*600*160mm为一组（可根据环境尺寸调整长度）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2.材质：铝合金型材、冷轧板经过酸洗、磷化、除油、除锈并经过“环氧树脂”粉末喷涂固化处理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3.组合模式：标准模块化（特殊环境可定做）</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一、膨胀螺丝与现浇楼板的安装方式及要求：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1、膨胀原理：是通过螺纹的轴向移动使圆锥部分移动，进而在膨胀管的外周面形成很大的正压力，加之圆锥的角度很小，从而使墙体、膨胀管及圆锥间形成摩擦自锁，进而达到固定作用。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2、安装方法：现浇楼板有足够的抗挤压性，符合国家标准《混凝土结构设计规范》。钻孔与膨胀管间间隙不要过大，（间隙值小于膨胀管直径的十分之一）。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圆锥部分切实埋入孔内，并尽可能深，螺纹部分务必拧紧（注意千万别逸扣）。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二、 膨胀螺丝的材质要求、选型及承重要求：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1、膨胀螺丝材质：选用Q235、35/45#钢等（含A3钢、碳钢），符合国家标准：JB/ZQ4763-2006。</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2、膨胀螺丝型号：M10*90mm。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3、膨胀螺丝承重：拉力≧390KG，剪力：≧165KG。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吊装装置安装在教室顶部现浇或预制楼板位置，设备自重超标涉及学生安全问题，所以安装时须进行膨胀螺丝安装拉拔试验并提供拉拔检测报告，且物理实验室的每组吊装设备自重≤40kg（现场随机检测自重）。</w:t>
            </w:r>
            <w:r>
              <w:rPr>
                <w:b w:val="0"/>
                <w:bCs w:val="0"/>
              </w:rPr>
            </w:r>
            <w:r/>
          </w:p>
        </w:tc>
      </w:tr>
      <w:tr>
        <w:trPr>
          <w:trHeight w:val="232"/>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吊装智能摇臂控制系统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智能摇臂控制系统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摇臂动力采用为直流24V减速低压电机</w:t>
            </w:r>
            <w:r>
              <w:rPr>
                <w:b w:val="0"/>
                <w:bCs w:val="0"/>
              </w:rPr>
            </w:r>
            <w:r/>
          </w:p>
        </w:tc>
      </w:tr>
      <w:tr>
        <w:trPr>
          <w:trHeight w:val="50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吊装系统摇臂终端盒</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功能模块采用模具一体成型，形状为长方形设计，功能模块可安装电源，可选配网络及上下水模块</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（1）规格：≥400mm*120mm*345mm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（2）材料：ABS注塑成型</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（3）五孔插座</w:t>
            </w:r>
            <w:r>
              <w:rPr>
                <w:b w:val="0"/>
                <w:bCs w:val="0"/>
              </w:rPr>
            </w:r>
            <w:r/>
          </w:p>
        </w:tc>
      </w:tr>
      <w:tr>
        <w:trPr>
          <w:trHeight w:val="62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吊装系统照明光源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（1）灯架材质：铝合金型材</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（2）反光模式：镀铬镜面反光层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（3）灯管模式：LED灯珠</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（4）外层保护方式：1mm厚半透明亚克力板</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（5）配置数量：每张实验台一组</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（6）功能：增加室内光照度</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吊装系统照明线路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（1）设计模式：模块化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（2）匹配线径：塑套护套线2*0.75平方多股铜芯软线</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吊装系统供电线路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（1）设计模式：模块化</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（2）匹配线径：3*2.5平方多股铜芯软线</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吊装系统网络线路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室内网线：五类网线，传输速率100Mbps</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吊装系统安装附件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（1）角钢固件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（2）直角座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（3）吊装挂件</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55</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万向吸风罩</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（1）型号：DN75型                                                                                                                                                                                                             （2）管道规格：直径75mm                         </w:t>
            </w:r>
            <w:r>
              <w:rPr>
                <w:rFonts w:hint="eastAsia" w:ascii="宋体" w:hAnsi="宋体" w:cs="宋体"/>
                <w:b w:val="0"/>
                <w:bCs w:val="0"/>
                <w:color w:val="000000"/>
                <w:sz w:val="20"/>
                <w:szCs w:val="20"/>
                <w:highlight w:val="none"/>
                <w:lang w:bidi="ar"/>
              </w:rPr>
              <w:t xml:space="preserve">                                                                                                                                                                         （3）活动关节：三关节/旋转360°                                                                     </w:t>
            </w:r>
            <w:r>
              <w:rPr>
                <w:rFonts w:hint="eastAsia" w:ascii="宋体" w:hAnsi="宋体" w:cs="宋体"/>
                <w:b w:val="0"/>
                <w:bCs w:val="0"/>
                <w:color w:val="000000"/>
                <w:sz w:val="20"/>
                <w:szCs w:val="20"/>
                <w:highlight w:val="none"/>
                <w:lang w:bidi="ar"/>
              </w:rPr>
              <w:t xml:space="preserve">                                                                                                                       （4）风量大小：自由调节                                                                                                                             </w:t>
            </w:r>
            <w:r>
              <w:rPr>
                <w:rFonts w:hint="eastAsia" w:ascii="宋体" w:hAnsi="宋体" w:cs="宋体"/>
                <w:b w:val="0"/>
                <w:bCs w:val="0"/>
                <w:color w:val="000000"/>
                <w:sz w:val="20"/>
                <w:szCs w:val="20"/>
                <w:highlight w:val="none"/>
                <w:lang w:bidi="ar"/>
              </w:rPr>
              <w:t xml:space="preserve">                                                                        （5）喇叭口材质：透明PE注塑成型                                                                                                                                                                       </w:t>
            </w:r>
            <w:r>
              <w:rPr>
                <w:rFonts w:hint="eastAsia" w:ascii="宋体" w:hAnsi="宋体" w:cs="宋体"/>
                <w:b w:val="0"/>
                <w:bCs w:val="0"/>
                <w:color w:val="000000"/>
                <w:sz w:val="20"/>
                <w:szCs w:val="20"/>
                <w:highlight w:val="none"/>
                <w:lang w:bidi="ar"/>
              </w:rPr>
              <w:t xml:space="preserve">                  （6）关节材质：PVC注塑成型                                                                                                                                                                                               （7）管道材质：铝合金型材，表面经电泳、静电环氧树脂粉末喷涂处理</w:t>
            </w:r>
            <w:r>
              <w:rPr>
                <w:b w:val="0"/>
                <w:bCs w:val="0"/>
              </w:rPr>
            </w:r>
            <w:r/>
          </w:p>
        </w:tc>
      </w:tr>
      <w:tr>
        <w:trPr>
          <w:trHeight w:val="239"/>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屋面风机对接部分</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PVC材质，根据通风需要设计规格。采用PVC板焊接成型或采用国标PVC型材。</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57</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室内行程管道及配件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PVC材质，根据通风需要设计规格。采用PVC板焊接成型或采用国标PVC型材。</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风机</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规格：功率5.5KW，箱式风机。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尺寸：≥1100mm*1100mm*1100mm，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重量：210kg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电压：380V</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工作时：噪音≤70分贝,配一体化消声器材、风流量10210-15600M3/h，全压946-890Pa，转速：950r/min。</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含风机配套配件。</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风管配套辅件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PVC材质，主要用于室外主管道与室内主管道的连接。</w:t>
            </w:r>
            <w:r>
              <w:rPr>
                <w:b w:val="0"/>
                <w:bCs w:val="0"/>
              </w:rPr>
            </w:r>
            <w:r/>
          </w:p>
        </w:tc>
      </w:tr>
      <w:tr>
        <w:trPr>
          <w:trHeight w:val="8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电子天平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1.具备多种计量单位转换，计数功能及动物称重功能，装置RS232C输出接口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2.称量范围(g)：300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3.可读性/精度：10mg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4.外形尺寸（mm）：270×190×110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5.秤盘尺寸（mm）：Ф130</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笔式酸度计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1.PH测量范围：0.00-14.00Ph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2.分辨率：±0.01Ph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3.校准点：3点</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4.使用校准液</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5.温度补偿范围：0-50℃32-122F</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6.温度补偿方式：自动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7.温度显示:标准化温度25℃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8.数据锁定：手动锁定</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9.操作温度：0-50℃32-122F</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.电源类型：4*LR44</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1</w:t>
            </w:r>
            <w:r>
              <w:rPr>
                <w:rFonts w:hint="eastAsia" w:ascii="宋体" w:hAnsi="宋体" w:cs="宋体"/>
                <w:b w:val="0"/>
                <w:bCs w:val="0"/>
                <w:color w:val="000000"/>
                <w:sz w:val="20"/>
                <w:szCs w:val="20"/>
                <w:highlight w:val="none"/>
                <w:lang w:bidi="ar"/>
              </w:rPr>
              <w:t xml:space="preserve">.电源使用时间：约80小时</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磁力搅拌器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1.可对50ml-20L标准或非标准反应瓶进行搅拌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2.硅胶垫工作盘面，外壳采用金属外壳，高强度，耐高温，防腐蚀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3.整机设计精致小巧，30°斜面操控面板适合坐位和站位视角</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4.高磁通量设计，搅拌能力强，采用无马达驱动方式，噪音小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5.工作盘尺寸（mm）：Φ137mm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6.盘面材料：硅胶垫</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7.转速范围：200-1600rpm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8.定时范围：0~99h59min</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9.搅拌点位数量：1</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10.单个最大搅拌量：20L</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11.搅拌子最长尺寸：80mm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12.输入电源：AC220V50/60Hz</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13.功率：20W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14.熔断器：250V,1A,Ф5x20</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水浴锅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一列两孔</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1.温度范围：室温-100℃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2.功率：600w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3.精度：0.1℃</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4.工作盘尺寸：30*15*14cm</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PH计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1.仪器特点大屏幕、液晶显示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2.同时测量或显示pH、温度或mV、温度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3.电器接插件低于平面，有助于防腐和安全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4.仪器级别0.01级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5.测量范围pH:(-2.00~18.00)pHmV:(-1999~0)，（0~1999)</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6.温度：(0~99.9)℃</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7.分辨率pH：±0.01mV：±1mV温度：0.1℃</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8.基本误差pH：±0.01pHmV:±1mV温度：0.3℃</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9.输入阻抗不小于1×1012Ω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10.稳定性±0.01pH/3h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11.温度补偿范围（0~100）℃手动或自动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12.仪器配置pH复合电极一支，pH标准缓冲试剂2套，自动温度补偿电极1支</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超净工作台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u w:val="none"/>
              </w:rPr>
            </w:pPr>
            <w:r>
              <w:rPr>
                <w:rFonts w:hint="eastAsia" w:ascii="宋体" w:hAnsi="宋体" w:cs="宋体"/>
                <w:b w:val="0"/>
                <w:bCs w:val="0"/>
                <w:color w:val="000000"/>
                <w:sz w:val="20"/>
                <w:szCs w:val="20"/>
                <w:highlight w:val="none"/>
                <w:lang w:bidi="ar"/>
              </w:rPr>
              <w:t xml:space="preserve">1.采用任意定位移门系统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2.外壳采用彩钢板一体成型，工作台面为SUS304拉丝不锈钢，耐腐蚀、易清洗</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3.照明和杀菌系统安全互锁，紫外灯可定时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4.数显式液晶控制界面，人性化设计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5.垂直准闭合式台面，操作室下降流气幕的形成，可有效防止外部气体投入和操作区洁净</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6.配置有HEPA高效空气过滤器，设有初效过滤器进行初步过滤，可有效延长高效过滤器使用寿命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7.菌落数≤0.5个/皿·时（Φ90mm培养平皿）</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val="en-US" w:eastAsia="zh-CN" w:bidi="ar"/>
              </w:rPr>
              <w:t xml:space="preserve">8</w:t>
            </w:r>
            <w:r>
              <w:rPr>
                <w:rFonts w:hint="eastAsia" w:ascii="宋体" w:hAnsi="宋体" w:cs="宋体"/>
                <w:b w:val="0"/>
                <w:bCs w:val="0"/>
                <w:color w:val="000000"/>
                <w:sz w:val="20"/>
                <w:szCs w:val="20"/>
                <w:highlight w:val="none"/>
                <w:lang w:bidi="ar"/>
              </w:rPr>
              <w:t xml:space="preserve">.平均风速0.25～0.45m/s（三档风速可调）</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val="en-US" w:eastAsia="zh-CN" w:bidi="ar"/>
              </w:rPr>
              <w:t xml:space="preserve">9</w:t>
            </w:r>
            <w:r>
              <w:rPr>
                <w:rFonts w:hint="eastAsia" w:ascii="宋体" w:hAnsi="宋体" w:cs="宋体"/>
                <w:b w:val="0"/>
                <w:bCs w:val="0"/>
                <w:color w:val="000000"/>
                <w:sz w:val="20"/>
                <w:szCs w:val="20"/>
                <w:highlight w:val="none"/>
                <w:lang w:bidi="ar"/>
              </w:rPr>
              <w:t xml:space="preserve">.噪音≤62dB（A）</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0</w:t>
            </w:r>
            <w:r>
              <w:rPr>
                <w:rFonts w:hint="eastAsia" w:ascii="宋体" w:hAnsi="宋体" w:cs="宋体"/>
                <w:b w:val="0"/>
                <w:bCs w:val="0"/>
                <w:color w:val="000000"/>
                <w:sz w:val="20"/>
                <w:szCs w:val="20"/>
                <w:highlight w:val="none"/>
                <w:lang w:bidi="ar"/>
              </w:rPr>
              <w:t xml:space="preserve">.振动半峰值≤0.5μM（x、y、z方向）</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1</w:t>
            </w:r>
            <w:r>
              <w:rPr>
                <w:rFonts w:hint="eastAsia" w:ascii="宋体" w:hAnsi="宋体" w:cs="宋体"/>
                <w:b w:val="0"/>
                <w:bCs w:val="0"/>
                <w:color w:val="000000"/>
                <w:sz w:val="20"/>
                <w:szCs w:val="20"/>
                <w:highlight w:val="none"/>
                <w:lang w:bidi="ar"/>
              </w:rPr>
              <w:t xml:space="preserve">.照度≥300Lx</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2</w:t>
            </w:r>
            <w:r>
              <w:rPr>
                <w:rFonts w:hint="eastAsia" w:ascii="宋体" w:hAnsi="宋体" w:cs="宋体"/>
                <w:b w:val="0"/>
                <w:bCs w:val="0"/>
                <w:color w:val="000000"/>
                <w:sz w:val="20"/>
                <w:szCs w:val="20"/>
                <w:highlight w:val="none"/>
                <w:lang w:bidi="ar"/>
              </w:rPr>
              <w:t xml:space="preserve">.电源AC单相220V/50Hz</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3</w:t>
            </w:r>
            <w:r>
              <w:rPr>
                <w:rFonts w:hint="eastAsia" w:ascii="宋体" w:hAnsi="宋体" w:cs="宋体"/>
                <w:b w:val="0"/>
                <w:bCs w:val="0"/>
                <w:color w:val="000000"/>
                <w:sz w:val="20"/>
                <w:szCs w:val="20"/>
                <w:highlight w:val="none"/>
                <w:lang w:bidi="ar"/>
              </w:rPr>
              <w:t xml:space="preserve">.最大功率600W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4</w:t>
            </w:r>
            <w:r>
              <w:rPr>
                <w:rFonts w:hint="eastAsia" w:ascii="宋体" w:hAnsi="宋体" w:cs="宋体"/>
                <w:b w:val="0"/>
                <w:bCs w:val="0"/>
                <w:color w:val="000000"/>
                <w:sz w:val="20"/>
                <w:szCs w:val="20"/>
                <w:highlight w:val="none"/>
                <w:lang w:bidi="ar"/>
              </w:rPr>
              <w:t xml:space="preserve">.重量120Kg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5</w:t>
            </w:r>
            <w:r>
              <w:rPr>
                <w:rFonts w:hint="eastAsia" w:ascii="宋体" w:hAnsi="宋体" w:cs="宋体"/>
                <w:b w:val="0"/>
                <w:bCs w:val="0"/>
                <w:color w:val="000000"/>
                <w:sz w:val="20"/>
                <w:szCs w:val="20"/>
                <w:highlight w:val="none"/>
                <w:lang w:bidi="ar"/>
              </w:rPr>
              <w:t xml:space="preserve">.工作区尺寸W1×D1×H1 1140mm×485mm×515mm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6</w:t>
            </w:r>
            <w:r>
              <w:rPr>
                <w:rFonts w:hint="eastAsia" w:ascii="宋体" w:hAnsi="宋体" w:cs="宋体"/>
                <w:b w:val="0"/>
                <w:bCs w:val="0"/>
                <w:color w:val="000000"/>
                <w:sz w:val="20"/>
                <w:szCs w:val="20"/>
                <w:highlight w:val="none"/>
                <w:lang w:bidi="ar"/>
              </w:rPr>
              <w:t xml:space="preserve">.外型尺寸W×D×H1 300mm×550mm×1600mm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w:t>
            </w:r>
            <w:r>
              <w:rPr>
                <w:rFonts w:hint="eastAsia" w:ascii="宋体" w:hAnsi="宋体" w:cs="宋体"/>
                <w:b w:val="0"/>
                <w:bCs w:val="0"/>
                <w:color w:val="000000"/>
                <w:sz w:val="20"/>
                <w:szCs w:val="20"/>
                <w:highlight w:val="none"/>
                <w:lang w:val="en-US" w:eastAsia="zh-CN" w:bidi="ar"/>
              </w:rPr>
              <w:t xml:space="preserve">7</w:t>
            </w:r>
            <w:r>
              <w:rPr>
                <w:rFonts w:hint="eastAsia" w:ascii="宋体" w:hAnsi="宋体" w:cs="宋体"/>
                <w:b w:val="0"/>
                <w:bCs w:val="0"/>
                <w:color w:val="000000"/>
                <w:sz w:val="20"/>
                <w:szCs w:val="20"/>
                <w:highlight w:val="none"/>
                <w:lang w:bidi="ar"/>
              </w:rPr>
              <w:t xml:space="preserve">.适用</w:t>
            </w:r>
            <w:r>
              <w:rPr>
                <w:rFonts w:hint="eastAsia" w:ascii="宋体" w:hAnsi="宋体" w:cs="宋体"/>
                <w:b w:val="0"/>
                <w:bCs w:val="0"/>
                <w:color w:val="000000"/>
                <w:sz w:val="20"/>
                <w:szCs w:val="20"/>
                <w:highlight w:val="none"/>
                <w:u w:val="none"/>
                <w:lang w:bidi="ar"/>
              </w:rPr>
              <w:t xml:space="preserve">人数双人/单面</w:t>
            </w:r>
            <w:r>
              <w:rPr>
                <w:rFonts w:hint="eastAsia" w:ascii="宋体" w:hAnsi="宋体" w:cs="宋体"/>
                <w:b w:val="0"/>
                <w:bCs w:val="0"/>
                <w:color w:val="000000"/>
                <w:sz w:val="20"/>
                <w:szCs w:val="20"/>
                <w:highlight w:val="none"/>
                <w:u w:val="none"/>
                <w:lang w:bidi="ar"/>
              </w:rPr>
              <w:br w:type="textWrapping" w:clear="all"/>
            </w:r>
            <w:r>
              <w:rPr>
                <w:rFonts w:hint="eastAsia" w:ascii="宋体" w:hAnsi="宋体" w:cs="宋体"/>
                <w:b w:val="0"/>
                <w:bCs w:val="0"/>
                <w:color w:val="000000"/>
                <w:sz w:val="20"/>
                <w:szCs w:val="20"/>
                <w:highlight w:val="none"/>
                <w:u w:val="none"/>
                <w:lang w:bidi="ar"/>
              </w:rPr>
              <w:t xml:space="preserve">1</w:t>
            </w:r>
            <w:r>
              <w:rPr>
                <w:rFonts w:hint="eastAsia" w:ascii="宋体" w:hAnsi="宋体" w:cs="宋体"/>
                <w:b w:val="0"/>
                <w:bCs w:val="0"/>
                <w:color w:val="000000"/>
                <w:sz w:val="20"/>
                <w:szCs w:val="20"/>
                <w:highlight w:val="none"/>
                <w:u w:val="none"/>
                <w:lang w:val="en-US" w:eastAsia="zh-CN" w:bidi="ar"/>
              </w:rPr>
              <w:t xml:space="preserve">8</w:t>
            </w:r>
            <w:r>
              <w:rPr>
                <w:rFonts w:hint="eastAsia" w:ascii="宋体" w:hAnsi="宋体" w:cs="宋体"/>
                <w:b w:val="0"/>
                <w:bCs w:val="0"/>
                <w:color w:val="000000"/>
                <w:sz w:val="20"/>
                <w:szCs w:val="20"/>
                <w:highlight w:val="none"/>
                <w:u w:val="none"/>
                <w:lang w:bidi="ar"/>
              </w:rPr>
              <w:t xml:space="preserve">.荧光灯</w:t>
            </w:r>
            <w:r>
              <w:rPr>
                <w:rFonts w:hint="eastAsia" w:ascii="宋体" w:hAnsi="宋体" w:cs="宋体"/>
                <w:b w:val="0"/>
                <w:bCs w:val="0"/>
                <w:color w:val="000000"/>
                <w:sz w:val="20"/>
                <w:szCs w:val="20"/>
                <w:highlight w:val="none"/>
                <w:u w:val="none"/>
                <w:lang w:eastAsia="zh-CN" w:bidi="ar"/>
              </w:rPr>
              <w:t xml:space="preserve">规格</w:t>
            </w:r>
            <w:r>
              <w:rPr>
                <w:rFonts w:hint="eastAsia" w:ascii="宋体" w:hAnsi="宋体" w:cs="宋体"/>
                <w:b w:val="0"/>
                <w:bCs w:val="0"/>
                <w:color w:val="000000"/>
                <w:sz w:val="20"/>
                <w:szCs w:val="20"/>
                <w:highlight w:val="none"/>
                <w:u w:val="none"/>
                <w:lang w:val="en-US" w:eastAsia="zh-CN" w:bidi="ar"/>
              </w:rPr>
              <w:t xml:space="preserve">30W</w:t>
            </w:r>
            <w:r>
              <w:rPr>
                <w:rFonts w:hint="eastAsia" w:ascii="宋体" w:hAnsi="宋体" w:cs="宋体"/>
                <w:b w:val="0"/>
                <w:bCs w:val="0"/>
                <w:color w:val="000000"/>
                <w:sz w:val="20"/>
                <w:szCs w:val="20"/>
                <w:highlight w:val="none"/>
                <w:u w:val="none"/>
                <w:lang w:bidi="ar"/>
              </w:rPr>
              <w:t xml:space="preserve">/紫外灯规格</w:t>
            </w:r>
            <w:r>
              <w:rPr>
                <w:rFonts w:hint="eastAsia" w:ascii="宋体" w:hAnsi="宋体" w:cs="宋体"/>
                <w:b w:val="0"/>
                <w:bCs w:val="0"/>
                <w:color w:val="000000"/>
                <w:sz w:val="20"/>
                <w:szCs w:val="20"/>
                <w:highlight w:val="none"/>
                <w:u w:val="none"/>
                <w:lang w:val="en-US" w:eastAsia="zh-CN" w:bidi="ar"/>
              </w:rPr>
              <w:t xml:space="preserve">30W</w:t>
            </w:r>
            <w:r>
              <w:rPr>
                <w:b w:val="0"/>
                <w:bCs w:val="0"/>
              </w:rPr>
            </w:r>
            <w:r/>
          </w:p>
        </w:tc>
      </w:tr>
      <w:tr>
        <w:trPr>
          <w:trHeight w:val="33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接种器具灭菌器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1.不锈钢口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2.温度设定范围：0-330度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3.输入电压：AC220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4.功率：35W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5.包装尺寸180mm*100mm*205mm</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6.镊子架1个</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智能光照培养箱</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1.容积：250L</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2.控温范围：0～50℃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3.温度波动度：±1.0℃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4.温度偏差：±1.5℃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5.温度不均匀度：≤1.5℃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6.温度最大可编程段数：多段，液晶显示器，光源为LED光源，灯管为DC24V弱电压。</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7.光照级数：0～100级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8.光照度：0-12000LUX</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9.升温时间：10℃升至40℃为60分钟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10.降温时间：40℃降至10℃为60分钟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11.加热功率：200W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12.压缩机功率：200W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13.压缩机动延时保护时间：3分钟左右</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14.制冷剂：R134a（无氟）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15.噪音：＜70Db</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16.工作方式：连续运行（压缩机间歇工作）</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17.工作环境：温度0～40℃湿度85%RH以下，无腐蚀性气体</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18.电源：220±22V、50±0.5HZ</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19.内部尺寸500mm*500mm*1040mm，外部尺寸600mm*670mm*1650mm</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光照培养架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1.可用于初级《生命科学》、《科学》有关光合作用必做、选做实验，高级中学《生命科学》，有关选修课，组织培养等实验。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2.本产品以钢材经加工制成，整体结构牢固，光滑无毛刺，不氧化，无锈屑脱落，易擦洗。照明电路有套管保护，符合中学实验室对设备的牢固、安全、整洁美观要求。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3.外型尺寸为:1200mm×400mm×1800mm,分五层、每层层高40mm均分，可安置锥形瓶、烧杯、培养皿或培养缸，最下层巨地面高20mm，可搁置天竺葵等盆栽植物，作为光合作用场所及产物为淀粉的验证实验或探究实验之用。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4.每层均配置荧光灯，且各层独立布线控制启闭，可视需要进行光照。每层灯独立开关（根据客户需求可以定制每组独立开光控制）。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5.控时器参数：即时工作指示灯；铜片结构优化设计，寿命更长夏令时/冬令时功能；大屏幕液晶显示设定；最小时间间隔为1分钟,每天最多可设置20组开与关,每周可设置140组。</w:t>
            </w:r>
            <w:r>
              <w:rPr>
                <w:b w:val="0"/>
                <w:bCs w:val="0"/>
              </w:rPr>
            </w:r>
            <w:r/>
          </w:p>
        </w:tc>
      </w:tr>
      <w:tr>
        <w:trPr>
          <w:trHeight w:val="177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炼苗架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1.可用于初级《生命科学》、《科学》有关光合作用必做、选做实验，高级中学《生命科学》，有关选修课，组织培养等实验。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2.本产品以钢材经加工制成，整体结构牢固，光滑无毛刺，不氧化，无锈屑脱落，易擦洗；照明电路有套管保护，符合中学实验室对设备的牢固、安全、整洁美观要求。</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3.外型尺寸为:1200mm×400mm×1800mm,分五层、每层层高40mm均分，可安置锥形瓶、烧杯、培养皿或培养缸，最下层巨地面高20mm，可搁置天竺葵等盆栽植物，作为光合作用场所及产物为淀粉的验证实验或探究实验之用。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4.每层均配置配白红光双色或白红蓝三色植物专用生长灯，且各层独立布线控制启闭，可视需要进行光照。每层灯独立开关（根据客户需求可以定制每组独立开光控制）。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5.控时器参数：即时工作指示灯；铜片结构优化设计，寿命更长夏令时/冬令时功能；大屏幕液晶显示设定；最小时间间隔为1分钟,每天最多可设置20组开与关,每周可设置140组。</w:t>
            </w:r>
            <w:r>
              <w:rPr>
                <w:b w:val="0"/>
                <w:bCs w:val="0"/>
              </w:rPr>
            </w:r>
            <w:r/>
          </w:p>
        </w:tc>
      </w:tr>
      <w:tr>
        <w:trPr>
          <w:trHeight w:val="61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果酒果醋发酵装置</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numPr>
                <w:ilvl w:val="0"/>
                <w:numId w:val="9"/>
              </w:numPr>
              <w:jc w:val="left"/>
              <w:widowControl/>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容器采用食品级材质。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2、透光率大于90%，雾度小于1%，有水晶般的光泽。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3、低压热变形温度(HDT@0.455MPa)根据牌号不同在94℃-109℃之间。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4、容积1000mL。</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5、专用于高中果酒果醋制作实验，可提供有氧发酵和无氧发酵两种方式。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6、果酒果醋发酵装置，针孔发酵发泡装置，能够计算不同时间段发酵速度的变化。</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酿酒设备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35-40L点加热酿酒设备，带冷却器，不锈钢材质</w:t>
            </w:r>
            <w:r>
              <w:rPr>
                <w:b w:val="0"/>
                <w:bCs w:val="0"/>
              </w:rPr>
            </w:r>
            <w:r/>
          </w:p>
        </w:tc>
      </w:tr>
      <w:tr>
        <w:trPr>
          <w:trHeight w:val="1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探究实验耗材包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金属接种棒3盒；接种丝镍铬丝10包；玻璃涂布器2盒；一次性培养皿2箱；不锈钢直尖剪刀30把；枪型不锈钢镊子30把；四种规格吸头：吸头5000uL-1包，吸头1000uL-1包，吸头200uL-1包，吸头10uL-1包；四种规格吸头盒各15个；不锈钢防爆酒精灯12个；两面板12个；组培瓶5箱，0.5mL离心管1包；1.5mL离心管1包；封口膜1包；酒精棉球2包，手套200付</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紫外灭菌车</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1.紫外消毒车采用双灯管结构，并可以单独使用，灯臂角度可以180度调节，不用时请垂放关上保护门以免灯管破坏，又能保持灯管清洁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2.定时器可以在120分钟内定时控制消毒时间，定时器工作完毕会自行断路而灯管熄灭</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3.形式为移动式</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4.安全防护分类为I类</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5.灯臂长度为：920mm+2mm,灯臂调节角度为0-180度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6.输入功率为：150VA</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7.环境温度：5-40C</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8.相对温度：80%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9.电源220V+22V50Hz+1Hz</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10.紫外线波长253.7A</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11.电流电压220V50Hz</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12.功率2×30W</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13.灯臂调节角度:0-180°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14.定时范围：1-120分钟，其最大定时误差&lt;=15min</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照度计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1.准确度高及反应速度快</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2.31/2位液晶显示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3.测量范围:20/200/2000/20000Lux</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4.过载显示:Hightestdigitof(1)isdisplayed</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5.分辨率:0.1Lux</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6.准确度:±3%rdg±0.5%f.s.(＜10,000lux)；±4%rdg±10dgts(＞10,000lux)(以色温2856K标准平面灯校正)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7.重复测试:±2%</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8.温度特性:±0.1%/℃</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9.取样率:Approx.2times/sec</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10.记录器输出:DC2V/f.s.(满刻度)(TES-1332A)</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11.操作及储存温湿度:0℃to40℃(32℉to104℉)＜70%R.H.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12.电源:one9Vbattery</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13.光检测器尺寸:100mm(L)x60mm(W)x27mm(H)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14.电表尺寸:135mm(L)x72mm(W)x33mm(H)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15.附件:使用说明书、皮盒、9V电池</w:t>
            </w:r>
            <w:r>
              <w:rPr>
                <w:b w:val="0"/>
                <w:bCs w:val="0"/>
              </w:rPr>
            </w:r>
            <w:r/>
          </w:p>
        </w:tc>
      </w:tr>
      <w:tr>
        <w:trPr>
          <w:trHeight w:val="59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温湿度计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1.超大屏幕液晶显示，直观方便</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2.同屏显示温度、湿度、时钟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3.室内外双陆测温、单路测湿</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4.温度测量范围:室内温度：-30℃~+50℃；室外温度：-50℃~+70℃</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5.湿度测量范围：20%RH~90%RH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6.显示分辨率：温度：0.1℃；湿度：1%RH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7.测量精度：温度：±1℃；湿度：±5%RH</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8.供电电压：1.5V（一节7号碱性电池）</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9.12/24小时时钟显示，可设定定时、闹钟功能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10.最大、最小温湿度记忆功能</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精油提取器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1、仪器内外材质均采用304不锈钢；</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2、加热功率：1000W，功率无极可调；</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3、具有缺水断电功能；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4、物料篮容积：5L。</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冰箱</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容积≥250L，三门冰箱。</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电磁炉</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功率≥2000W，8</w:t>
            </w:r>
            <w:r>
              <w:rPr>
                <w:rFonts w:hint="eastAsia" w:ascii="宋体" w:hAnsi="宋体" w:cs="宋体"/>
                <w:b w:val="0"/>
                <w:bCs w:val="0"/>
                <w:color w:val="000000"/>
                <w:sz w:val="20"/>
                <w:szCs w:val="20"/>
                <w:highlight w:val="none"/>
                <w:lang w:val="en-US" w:eastAsia="zh-CN" w:bidi="ar"/>
              </w:rPr>
              <w:t xml:space="preserve">档</w:t>
            </w:r>
            <w:r>
              <w:rPr>
                <w:rFonts w:hint="eastAsia" w:ascii="宋体" w:hAnsi="宋体" w:cs="宋体"/>
                <w:b w:val="0"/>
                <w:bCs w:val="0"/>
                <w:color w:val="000000"/>
                <w:sz w:val="20"/>
                <w:szCs w:val="20"/>
                <w:highlight w:val="none"/>
                <w:lang w:bidi="ar"/>
              </w:rPr>
              <w:t xml:space="preserve">可调，配套锅。</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组培苗</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生长良好,配套组培瓶。</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试剂盒</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植物的组织培养；果酒果醋制作试剂盒；腐乳的制作试剂盒；亚硝酸盐的测定试剂盒；微生物的实验培养试剂盒；</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土壤中分解尿素的细菌的分离和计数试剂盒；分解纤维素的微生物的分离试剂盒；酵母细胞的固定化试剂盒；发光细菌培养试剂盒。</w:t>
            </w:r>
            <w:r>
              <w:rPr>
                <w:b w:val="0"/>
                <w:bCs w:val="0"/>
              </w:rPr>
            </w:r>
            <w:r/>
          </w:p>
        </w:tc>
      </w:tr>
      <w:tr>
        <w:trPr>
          <w:trHeight w:val="951"/>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教学管理软件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w:t>
            </w:r>
            <w:r>
              <w:rPr>
                <w:rFonts w:hint="eastAsia" w:ascii="宋体" w:hAnsi="宋体" w:cs="宋体"/>
                <w:b w:val="0"/>
                <w:bCs w:val="0"/>
                <w:color w:val="000000"/>
                <w:sz w:val="20"/>
                <w:szCs w:val="20"/>
                <w:highlight w:val="none"/>
                <w:lang w:bidi="ar"/>
              </w:rPr>
              <w:t xml:space="preserve">管理后台：（签订合同时提供2-11项软件功能截图证明文件）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1、具备自主的管理平台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2、支持管理后台主页显示常用的系统数据曲线和场所、模块、终端数量显示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3、支持用户自行创建管理场所，包括各种实验室、智慧农场等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4、支持用户管理自有模块信息，模块可以配置到不同的场所，实现实时数据关联</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5、支持用户定义终端，通过对不同厂家设备的参数配置，实现真正意义上的自定义物联</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6、支持用户自行定义终端快捷动作，用户通过对终端指令的批量设置，可以实现方便的对设备进行多动作连续执行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7、支持用户自行定义传感器设备，不指定厂家，只要协议兼容，都能方便接入传感器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8、支持用户执行器定义，用户可以通过后台定义不同厂家的执行器，方便接入控制设备</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9、支持用户查看授权的资源信息，包括各种培训资料、教材、音视频文件、课件等分类的资料</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10、支持给上传特聘专家为平台终端用户老师提供专门的专家提问场景</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11、支持将所有的终端动作进行记录，为设备的采样、执行、状态获取等提供可追溯的数据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w:t>
            </w:r>
            <w:r>
              <w:rPr>
                <w:rFonts w:hint="eastAsia" w:ascii="宋体" w:hAnsi="宋体" w:cs="宋体"/>
                <w:b w:val="0"/>
                <w:bCs w:val="0"/>
                <w:color w:val="000000"/>
                <w:sz w:val="20"/>
                <w:szCs w:val="20"/>
                <w:highlight w:val="none"/>
                <w:lang w:bidi="ar"/>
              </w:rPr>
              <w:t xml:space="preserve">APP/小程序端：（签订合同时提供2-12项软件功能截图证明文件）</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1、具备自主的微信小程序、安卓APP、苹果H5APP等</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2、主页支持显示基本信息、场所、模块、终端、配件、资源、报修、专家互动、商城推荐、服务热线、案例展示等快捷通道</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3、基本信息页面支持显示单位信息、报修、计划任务、硬件配置等重要资料</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4、支持展示用户自己的场所信息、模块信息</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5、支持展示用户自己的终端信息，终端信息列表呈现对应终端在在线状态</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6、支持用户读取传感器信息，不同终端进入后可以看到挂载的不同传感器，对传感器数据进行实时读取并显示，支持市面上各类传感器类型</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7、支持用户读取执行器状态，并控制执行器，实现不同的控制目的</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8、支持用户自定义任务计划，用户可以设置不同形式的任务计划，实现对终端的定时控制、定期循环控制等自执行操作</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10、支持用户查看平台推送的各种资源课件等资料</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11、支持用户对特聘专家进行提问，并在专家回复后查看回复</w:t>
            </w:r>
            <w:r>
              <w:rPr>
                <w:rFonts w:hint="eastAsia" w:ascii="宋体" w:hAnsi="宋体" w:cs="宋体"/>
                <w:b w:val="0"/>
                <w:bCs w:val="0"/>
                <w:color w:val="000000"/>
                <w:sz w:val="20"/>
                <w:szCs w:val="20"/>
                <w:highlight w:val="none"/>
                <w:lang w:bidi="ar"/>
              </w:rPr>
              <w:br/>
            </w:r>
            <w:r>
              <w:rPr>
                <w:rFonts w:hint="eastAsia" w:ascii="宋体" w:hAnsi="宋体" w:cs="宋体"/>
                <w:b w:val="0"/>
                <w:bCs w:val="0"/>
                <w:color w:val="000000"/>
                <w:sz w:val="20"/>
                <w:szCs w:val="20"/>
                <w:highlight w:val="none"/>
                <w:lang w:bidi="ar"/>
              </w:rPr>
              <w:t xml:space="preserve">12、支持用户自助报修，通过平台报修界面实现对不同终端设备的在线自助报修</w:t>
            </w:r>
            <w:r>
              <w:rPr>
                <w:rFonts w:hint="eastAsia" w:ascii="宋体" w:hAnsi="宋体" w:cs="宋体"/>
                <w:b w:val="0"/>
                <w:bCs w:val="0"/>
                <w:color w:val="000000"/>
                <w:sz w:val="20"/>
                <w:szCs w:val="20"/>
                <w:highlight w:val="none"/>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课程培训与服务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1.提供高中生物新课程实验培训一次、协助学校开展生物相关课题开设、课程开发以及中小学素拓课程手册20本；</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2.提供《中小学素拓课程手册》精美胶装本，提供样品一本，课程不少于以下五方面内容：</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2.1校园“微”世界：酸奶的制作、泡菜的制作、果酒的制作、腐乳的制作、寻找微生物-检测不同环境中的细菌和真菌、微生物的培养-酵母菌、发光细菌、食用菌；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2.2“香”约校园：植物芳香油的提取、精油小挂饰的制作、精油手工皂的制作、精油润唇膏的制作、精油护手霜的制作；</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2.3小小生态圈构建：夏天水果上的小飞虫-果蝇养殖、闪电镰刀手传奇-螳螂养殖、破茧成蝶-蝴蝶的养殖、励志哥成长记-蜗牛的养殖、虫生如戏，全靠演技-昆虫拟态、捕猎者-华西雨蛙的养殖、地下迷宫-蚁族的世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2.4细胞揭秘：观察草履虫对外界刺激的反应、制作切片并寻找动植物细胞、观察人的口腔上皮细胞、观察绿叶细胞中的叶绿体；</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2.5小小生态园：“鱼”水“生”菜、幻彩水晶花瓶的制作、生命的力量-小小种子的萌发、无土栽培技术-水培、雾培、基质培、“离”不开、“酸”不住-各项参数测定、花儿为什么这样红-植物色素的提取与测定、探究光周期与光谱变化对植物生长的影响、水质的简易测定和不同水质对水生小动物的影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3.每个课程至少包含：课程简介、教学材料及用具、实验步骤、课时安排、实验思考、课程成果欣赏等；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4.高清图片形式的本节课程成果展示，课程手册为胶装的手册。</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传递窗</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≥600mm*600mm*600mm，304嵌入式中空玻璃传递窗（微电脑互锁）。</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净化板隔断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50MM厚岩棉彩钢板，双面贴膜，企口白灰色，表面喷塑密封，净化防尘防菌处理；洁净室专用常规铝合金型材：国标件,地槽、厚角、角包、阴圆角；洁净室专用密封件及五金材料（铝铆钉、密封胶、螺丝等）。</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净化密闭单开门（EPS夹心），800mmx2000mm含门框、门扇、执手锁，表面喷塑密封，净化防尘防菌处理。</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超薄型LED平板净化灯，长条形，48W；适用场所：电子厂，制药厂，食品厂，化工业，医疗企业，手术室等有无尘需求的场所。</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紫外灭菌系统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杀菌线紫外灯加延时警示灯，单独控制，独立线路，含安装。</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88</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净化通风系统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无菌室采用高效送风过滤；包含洁净风管、风管保温板、高效风口GK-8、高效风口GK-12、新回风阻尼网板、高效送风过滤送风箱、压差表、风管调节阀等，含安装。</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实验室地面</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2.0mm厚度塑胶地板，耐磨、耐腐蚀，水，水泥自流平打底，专用胶粘接，焊接封口，铲平，不得有气泡，含安装。</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实验室水电</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地面以上部分，电器设备线路的连接，上下水设备的管道连接，含辅材及配件。</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净化吊顶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50MM厚硅岩彩钢板，双面贴膜，企口白灰色，表面喷塑密封，净化防尘防菌处理；洁净室专用常规铝合金型材：国标件,地槽、厚角、角包、阴圆角；洁净室专用密封件及五金材料（铝铆钉、密封胶、螺丝等）。</w:t>
            </w:r>
            <w:r>
              <w:rPr>
                <w:b w:val="0"/>
                <w:bCs w:val="0"/>
              </w:rPr>
            </w:r>
            <w:r/>
          </w:p>
        </w:tc>
      </w:tr>
      <w:tr>
        <w:trPr>
          <w:trHeight w:val="757"/>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实验教学管理系统平台软件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主要功能：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（1）实验数据云存储；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（2）系统后台管理；（3）实验教学资源（包含实验动画、视频等）的发布及教学应用管理；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（4）电子实验报告的制作、审核与派发管理，实验视频录播管理；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（5）学生实验报告提交管理；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（6）支持通过视频完成对学生实验操作过程评价；</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（7）支持真实测量数据实时显示，完成对学生数据结论的评价；软件平台中的视频记录能够清晰反映实验仪器测量数据，读数结果不受器材空间位置的影响，无需对摄像头角度、位置进行调整；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（8）实验成绩复核及争议消除机制；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（9）实验错误点的统计分析管理等。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（10）支持无缝升级为AI智能评分系统。</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交换机</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1.支持Telemetry技术，可通过GRPC协议将交换机的实时资源信息与告警信息上送至运维平台，运维平台针对实时数据进行分析，可实现网络质量回溯，故障排查，风险预警。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组播的音频和视频的服务功能，千兆端口接入，万兆或千兆上行。支持JumboFrame，支持802.1X，MAC认证，端口安全，支持LACP协议，支持4K个VLAN，支持最大16KMAC地址及黑洞MAC等特性，支持基于端口的二三层优先级自动映射，支持基于端口的镜像，支持重定向，支持端口隔离，支持访问控制列表，支持端口限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3.交换容量：336Gbps/3.36Tbps。</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4.包转发率（整机）：39Mpps/102Mpps。</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5.16个10/100/1000Base-T自适应以太网端口，4个千兆SFP口。</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显示器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20.5英寸及以上，分辨率1920x1080及以上。</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★政府强制节能产品，签订合同时提供国家确定的认证机构出具的、处于有效期之内的节能产品认证证书。</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教师控制主机系统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一、教室控制软件功能：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1、支持教师视频监看实验室内所有学生实验台的实况，</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2、支持教师对学生实验台智能云终端的远程管理与信息交互，支持屏幕互动教学。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3、支持教师登录云平台系统，利用平台自带的实验动画视频资源进行备课或发布自制的实验教学资源、自主设计学生实验以及在线安排和评价学生实验等教学活动。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4、配套系统：电子教室管理系统。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二、设备硬件配置：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1.内存：8GB及以上，可扩展</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2.硬盘：500GB及以上SSD、机械硬盘：2T/7200RPM及以上。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3.网卡：1000M自适应网卡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4.显示器：21.5英寸及以上，分辨率1920x1080及以上。</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视频多流云终端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功能：将视觉采集终端输出的图像转换成图像数据流，输送给机器视觉处理器。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规格参数：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1.支持64路机器视觉采集终端接入，捕捉终端数据；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2.支持对机器视觉采集终端触发信号、曝光时间、快门速度参数进行控制；</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3.支持H.265</w:t>
            </w:r>
            <w:r>
              <w:rPr>
                <w:rFonts w:hint="eastAsia" w:ascii="宋体" w:hAnsi="宋体" w:cs="宋体"/>
                <w:b w:val="0"/>
                <w:bCs w:val="0"/>
                <w:color w:val="000000"/>
                <w:sz w:val="20"/>
                <w:szCs w:val="20"/>
                <w:highlight w:val="none"/>
                <w:lang w:val="en-US" w:eastAsia="zh-CN" w:bidi="ar"/>
              </w:rPr>
              <w:t xml:space="preserve">和</w:t>
            </w:r>
            <w:r>
              <w:rPr>
                <w:rFonts w:hint="eastAsia" w:ascii="宋体" w:hAnsi="宋体" w:cs="宋体"/>
                <w:b w:val="0"/>
                <w:bCs w:val="0"/>
                <w:color w:val="000000"/>
                <w:sz w:val="20"/>
                <w:szCs w:val="20"/>
                <w:highlight w:val="none"/>
                <w:lang w:bidi="ar"/>
              </w:rPr>
              <w:t xml:space="preserve">H.264编码自适应接入；</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4.支持2路HDMI和2路VGA同时输出，支持4K高清分辨率输出；</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5.支持即时回放功能，支持最大16路；</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6.双千兆网卡，支持双网络IP设定等应用。</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视频流媒体服务平台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主要功能：沟通视频服务器与视频多流云终端，进行信息交换，负责控制视频采集行为、暂时存储并分类管理来自视频多流云终端的视频文件，对视频文件进行自动转码后上传至视频服务器。</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视频集控服务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主要功能：沟通视频服务器与视频多流云终端，进行信息交换，负责控制视频采集行为、暂时存储并分类管理来自视频多流云终端的视频文件，对视频文件进行自动转码后上传至视频服务器。</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99</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实验控制仪</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控制仪表：220V交流输出；直流低压电源，交流低压电源具有过流、短路软保护；具有过流自恢复保护功能；另直流电源具有恒流源功能。</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智能学生云终端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主控模块：（含鼠标键盘）</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（1）处理器：双核心，主频1.1G、动态加速频率2.6G及以上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（2）内存：4G及以上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（3）硬盘：32GB及以上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（4）显卡：®内置核心显卡（安装对应型号的驱动）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（5）网卡：10M/100M自适应网卡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（6）32bit及以上正版操作系统（及时系统补丁）</w:t>
            </w:r>
            <w:r>
              <w:rPr>
                <w:b w:val="0"/>
                <w:bCs w:val="0"/>
              </w:rPr>
            </w:r>
            <w:r/>
          </w:p>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（7）屏幕尺寸14英寸及以上，分辨率1366x768及以上</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实验操作视频采集系统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功能：用于完成学生实验操作过程视频的采集。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配备2路高清摄像系统，一路全局录播系统用于实验操作的视频全局录制。一路细节录播系统，录制实验操作细节部分。采用顶视和前视正交部署方式，顶视摄像头安装高度不高于90cm，视野覆盖整个桌面范围，要求视野清晰无畸变。前视摄像头安装高度不高于17cm，视野可以覆盖整个实验桌空间范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规格参数：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1.视频处理：H.265AI/H.265+（兼容H.265/H.264）编码，双码流，AVI格式；码流0.1M~10Mpbs可调；帧率1~30帧/秒可调</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2.图像输出：主码流：5MP2592*1944@15fps；4MP2560*1440@20fps；2MP1920*1080@25fps；子码流：704*576@25fps</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3.快门：1/50（1/60）秒至1/10000秒</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4.降噪：支持2D/3D降噪</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5.宽动态：支持数字宽动态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6.音频处理：G.711A编解码标准,支持双向语音对讲功能,支持音视频同步</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7.音频接口：1路输入,电平2Vp-p,阻抗1kΩ,支持拾音器输入;1路输出,阻抗16Ω,30mw输出功率,支持连接耳机或功放</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8.网络接口：1*RJ45网络接口，10/100M自适应；支持RTSP/FTP/PPPOE/DHCP/DDNS/NTP/UPnP等网络协议</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9.功能：支持WEB配置、OSD、移动侦测；移动侦测报警后中心提醒，画面弹出联动；支持MJPEG抓图；支持客户端远程监控软件、MYEYE平台等系统应用；提供完善的SDK开发包。</w:t>
            </w:r>
            <w:r>
              <w:rPr>
                <w:b w:val="0"/>
                <w:bCs w:val="0"/>
              </w:rPr>
            </w:r>
            <w:r/>
          </w:p>
        </w:tc>
      </w:tr>
      <w:tr>
        <w:trPr>
          <w:trHeight w:val="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实验室辅件及配套设备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实验台内部所需的电源线、网线、水晶头等耗材。交换机，TP-LINK(5口)百兆；配线架；多媒体切换系统及线材等。</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实验教学及考核管理系统云平台软件</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主要功能：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（1）实验数据云存储：提供日常实验教学活动数据、实验操作考试及评分数据的存储管理。</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（2）系统后台管理：管理内容涉及年度学期、实验课程设置、单位信息、实验室信息、教职工信息、学生信息、用户权限等。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实验教学资源：提供实验教学资源的管理，支持老师上传发布自制的word、excel、ppt、pdf等文档以及图片、视频、音频等实验相关教学资源，为教师自制实验教学资源提供自主上传、审核通过方可发布的相关管理，满足老师教学资源共享的需要和学生课外自主学习的需要；系统也提供了一些涉及教材上学生必做实验项目的教学动画视频资源作为教师实验教学的参考资料。</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电子实验报告的制作、审核与派发管理：提供了教师自主设计学生实验报告的模板，教师可以根据实验内容设计需要自主定义实验报告结构，包含实验目的、实验原理、实验仪器、实验内容、报告内容、评分项目、评分说明等。教师设计的实验报告需要通过学科组审核后方可在平台上发布、共享使用，以维护平台上共享实验报告的质量和科学性，同时促进集体备课。</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学生实验报告提交管理、实验视频录播管理：通过审核的实验项目，学科教师可用于安排学生实验活动，无纸化下发至实验终端供学生阅览、按实验内容要求完成实验活动、按报告内容要求提交实验报告（例如实验现象、实验数据、实验结论等），整个学生实验活动过程被全程视频记录在案。</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（6）支持通过视频完成对学生实验操作过程评价：实验结束后，老师可基于学生实验时提交的实验报告内容以及实验过程记录的视频随时对学生的实验活动进行评阅评价。</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（7）支持真实测量数据实时显示，完成对学生数据结论的评价；软件平台中的视频记录能够清晰反映实验仪器测量数据，读数结果不受器材空间位置的影响，无需对摄像头角度、位置进行调整。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实验错误点的统计分析管理：系统老师对学生实验活动评价时指出的错误点进行统计分析，方便老师知晓学生的共性错误在哪里，以便进行针对性实验教学；同时反馈学生实验评价信息，让学生知晓自己在实验过程中出现的错误，以便完成个性化纠错学习。</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9）实验考试管理：涉及实验考题制作与审核、实验考试组卷与审核、实验考务安排与审核、实验考位抽签、实验考试评分以及实验考试成绩等相关管理，可提供实验考后追溯机制，根据考生信息查询考生的实验考试成绩、评分记录和实验考试时提交的实验报告内容、实验操作视频记录等客观证据，以此消除考生或考生家长对成绩的异议，确保考试评分过程公平公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（10）支持无缝升级为AI智能评分系统：支持当前系统在日后可根据实际需要无缝升级，升级后在保有之前功能的基础上，可实现AI智能评分，以进一步提升实验考试评分的客观性，为实验考试评分工作赋能。</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视频同步及管理系统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为实验技能评价以及日常实验教学活动视频文件储存以及播放管理服务等。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服务功能：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支持同步各个实验室的视频数据、仪器数据以及考试数据，进行集中存储与管理，支持同步上传到区级管理平台。支持断点续传和数据完整性校验。具备数据加密传输保证数据安全。</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多副本与强一致性</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•支持多副本与强一致性，数据的不同副本保存在不同存储节点与机架中，支持磁盘/节点/机架级容错</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•使用专用的Cache管理算法，新修改的数据会立即写入磁盘，从而避免由于断电等故障引起数据丢失</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多层次数据修复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•在数据读写过程中，对每个副本进行检查，并及时修复损坏的副本。</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•周期性对每个磁盘进行可靠性检查，如果发现磁盘损坏，则将该磁盘隔离，并启动数据修复。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•当磁盘损坏而进行数据重建时，该磁盘的数据会分散到存储池中的其它磁盘，以分布式方式进行数据修复，从而显著缩短修复时间，降低数据丢失风险。</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•定期对全系统、指定的存储池（pool）或卷进行一致性检查，并进行修复。</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•根据系统I/O负载，自动调整修复速率，既能在系统工作时避免对正常业务产生干扰，又能在系统空闲时以大速率修复数据，降低数据丢失风险。</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多协议支持。</w:t>
            </w:r>
            <w:r>
              <w:rPr>
                <w:b w:val="0"/>
                <w:bCs w:val="0"/>
              </w:rPr>
            </w:r>
            <w:r/>
          </w:p>
        </w:tc>
      </w:tr>
      <w:tr>
        <w:trPr>
          <w:trHeight w:val="123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实验教学及考核数据服务器设备（校级管理端）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主要功能：用于校级实验教学及考核管理系统云平台软件部署以及保障云平台稳定运行的物质基础，为实验考试数据提供集中云存储服务，满足实验考试及其评价工作的需要。</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处理器：6核及以上，主频3.5G及以上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内存：32G及以上，可扩展到64G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硬盘：3.5寸8T(raid5)及以上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阵列控制器：支持Raid1，Raid5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PCII/O插槽：2个PCIe插槽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网口：2个百兆/千兆自适应网口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显卡：内置核心显卡（安装对应型号的驱动）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校级调度及视频服务器设备（校级管理端）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为实验技能评价以及日常实验教学活动提供调度服务、视频文件储存以及播放管理服务等。</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1.处理器：2颗10核及以上，主频2.3G及以上</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2.内存：64G及以上，可扩展到128G</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3.硬盘：3.5寸24T及以上（可根据各校实际情况进行调整）</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4.阵列控制器：支持Raid1，Raid5</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5.PCII/O插槽：2个PCIe插槽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6.网口：2个百兆/千兆自适应网口</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7.显卡：独立显卡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8.应用软件：调度服务系统、视频服务系统、仪器服务系统</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数据汇聚交换机（校级管理端）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一、功能</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1.支持Telemetry技术，可通过GRPC协议将交换机的实时资源信息与告警信息上送至运维平台，运维平台针对实时数据进行分析，可实现网络质量回溯，故障排查，风险预警。</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2.支持组播的音频和视频的服务功能，千兆端口接入，万兆或千兆上行。支持JumboFrame，支持802.1X，MAC认证，端口安全，支持LACP协议，支持4K个VLAN，支持最大16KMAC地址及黑洞MAC等特性，支持基于端口的二三层优先级自动映射，支持基于端口的镜像，支持重定向，支持端口隔离，支持访问控制列表，支持端口限速。</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3.交换容量：336Gbps/3.36Tbps</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4.包转发率（整机）：39Mpps/102Mpps</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5.16个10/100/1000Base-T自适应以太网端口，4个千兆SFP口</w:t>
            </w:r>
            <w:r>
              <w:rPr>
                <w:b w:val="0"/>
                <w:bCs w:val="0"/>
              </w:rPr>
            </w:r>
            <w:r/>
          </w:p>
        </w:tc>
      </w:tr>
      <w:tr>
        <w:trPr>
          <w:trHeight w:val="438"/>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路由器（校级管理端）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支持IPv4、IPv6路由协议；支持静态路由、RIPv1/v2、OSPFv2、BGP、IS-IS、路由策略、等价多路径、非平衡链路负载均衡；</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支持IGMPv1/v2/v3、PIM-DM、PIM-SM、PIM-SSM、MSDP、MBGP、组播静态路由；</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端口：固化5个千兆电口、1个千兆光口，均可工作在WAN模式下；</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包转发率：≥200Kpps。</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109</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高中物理力学演示仪器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器件配置：多功能实验支架1套、电火花计时器（交流电压：220V，频率0.02s）1套、有机直尺（1000mm，1mm）1把、钢卷尺</w:t>
            </w:r>
            <w:r>
              <w:rPr>
                <w:rFonts w:hint="eastAsia" w:ascii="宋体" w:hAnsi="宋体" w:cs="宋体"/>
                <w:b w:val="0"/>
                <w:bCs w:val="0"/>
                <w:color w:val="000000"/>
                <w:sz w:val="20"/>
                <w:szCs w:val="20"/>
                <w:highlight w:val="none"/>
                <w:lang w:bidi="ar"/>
              </w:rPr>
              <w:t xml:space="preserve">（5m，1mm）1盒、数显游标卡尺（0～15mm，0.01mm）1把、数显外径千分尺（0～25mm，0.001mm）1把、多用力学轨道系统（由力学轨道、小车及配件组成）1套、金属钩码（50g×10）1套、金属槽码（2g×3，5g×2，10g×2，20g×2，50g×2，100g×2，200g×2，5g×1金属槽码盘和10g×1金属槽码盘）1套、频闪光源（闪烁频率1Hz～1000Hz）1台、直角坐标书写板（印有方格，尺寸800mm×600mm，分格50mm×50mm）1个、直联泵（单相，2XZ-1型）1台、两</w:t>
            </w:r>
            <w:r>
              <w:rPr>
                <w:rFonts w:hint="eastAsia" w:ascii="宋体" w:hAnsi="宋体" w:cs="宋体"/>
                <w:b w:val="0"/>
                <w:bCs w:val="0"/>
                <w:color w:val="000000"/>
                <w:sz w:val="20"/>
                <w:szCs w:val="20"/>
                <w:highlight w:val="none"/>
                <w:lang w:bidi="ar"/>
              </w:rPr>
              <w:t xml:space="preserve">用气筒1个、打气筒1个、毛钱管1套、自由落体实验仪（包括主杆、支架座、电磁铁、光电门、钢球、钢球俘获装置、标尺等）1套、双锥体上滚演示器（含双椎体、圆柱体、支架等，支架导轨夹角可调）1套、薄板重心测定演示器1套、微小形变演示器（利用光杠杆原理）1套、螺旋弹簧组（由拉力极限分别为4.9N、2.94N、1.96N、0.98N和0.49N的5种弹簧构成）1组、摩擦力演示器（由摩擦板、摩擦块、摩擦材料、匀速电机等组成）1套、演示定滑轮（有磁性）1块、条形盒测力计（1N，0.02N）1个、条形盒测力计（2.5N，0.</w:t>
            </w:r>
            <w:r>
              <w:rPr>
                <w:rFonts w:hint="eastAsia" w:ascii="宋体" w:hAnsi="宋体" w:cs="宋体"/>
                <w:b w:val="0"/>
                <w:bCs w:val="0"/>
                <w:color w:val="000000"/>
                <w:sz w:val="20"/>
                <w:szCs w:val="20"/>
                <w:highlight w:val="none"/>
                <w:lang w:bidi="ar"/>
              </w:rPr>
              <w:t xml:space="preserve">05N）1个、条形盒测力计（5N，0.1N）1个、条形盒测力计（10N，0.2N）1个、圆筒测力计（1N，0.02N）1个、圆筒测力计（3N，0.1N）1个、圆筒测力计（10N，0.2N）1个、小型气源1台、力的合成分解实验器（由力桌，力桌支撑杆、细绳套、桌边滑轮、橡皮筋等组成）1套、斜面上力的分解演示器1套、量角器1个、三角板（等腰直角，内带量角器）1个、伽利略理想斜面演示器1套、牛顿第二定律演示仪1套、托盘天平（500g，0.5g）1台、电子天平（1000g，0.1g）1台、体重秤（160kg，0.5k</w:t>
            </w:r>
            <w:r>
              <w:rPr>
                <w:rFonts w:hint="eastAsia" w:ascii="宋体" w:hAnsi="宋体" w:cs="宋体"/>
                <w:b w:val="0"/>
                <w:bCs w:val="0"/>
                <w:color w:val="000000"/>
                <w:sz w:val="20"/>
                <w:szCs w:val="20"/>
                <w:highlight w:val="none"/>
                <w:lang w:bidi="ar"/>
              </w:rPr>
              <w:t xml:space="preserve">g）1台、滚摆1个、气垫导轨（长1200mm，含附件）1台、数字计时器（4位数字显示单元，内置定时器的启动和停止以及计数、周期、电磁铁吸合释放）1台、机械能守恒实验器（由底座、刻度板、挡光片、立柱、摆锤等组成）1台、曲线运动速度方向实验器（由可拼接的铝合金“S”形轨道、钢球、钢球释放装置等组成）1套、曲线运动条件实验器（由轨道,小钢球、磁铁、小球释放装置等组成）1台、蜡块运动实验仪（长度1000mm）1套、运动合成分解演示器（可做匀速-匀速、匀速-匀加速运动合成）1套、二维空间一时间描迹仪（同步计时打点描迹</w:t>
            </w:r>
            <w:r>
              <w:rPr>
                <w:rFonts w:hint="eastAsia" w:ascii="宋体" w:hAnsi="宋体" w:cs="宋体"/>
                <w:b w:val="0"/>
                <w:bCs w:val="0"/>
                <w:color w:val="000000"/>
                <w:sz w:val="20"/>
                <w:szCs w:val="20"/>
                <w:highlight w:val="none"/>
                <w:lang w:bidi="ar"/>
              </w:rPr>
              <w:t xml:space="preserve">）1套、平抛竖落仪1台、平抛运动实验器1套、向心力演示器1台、动量守恒小车1台、动量传递演示器（碰撞球，5球）1台、反冲运动演示器1套、弹簧振子（水平式）1套、简谐振动投影演示器1套、单摆运动规律演示器1套、受迫振动和共振演示器（5个摆长不同的单摆）1台、共振演示器1台、共振音叉（频率440Hz，由音叉、共鸣箱和音叉槌组成）1对、纵横波演示器1台、波动弹簧（扁钢丝弹簧）1个、纵波演示器1套、绳波演示器（横波、行波、驻波、模拟偏振）1套、声速测量仪1套、发波水槽1台、声波干涉演示仪1套、多普勒效应演示器1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1.探究匀变速直线运动规律；2.探究加速度与物体受力、物体质量的关系；3.牛顿管实验；4.测量人的反应时间；5.用悬挂法测定薄板的重心；6.观察桌面的</w:t>
            </w:r>
            <w:r>
              <w:rPr>
                <w:rFonts w:hint="eastAsia" w:ascii="宋体" w:hAnsi="宋体" w:cs="宋体"/>
                <w:b w:val="0"/>
                <w:bCs w:val="0"/>
                <w:color w:val="000000"/>
                <w:sz w:val="20"/>
                <w:szCs w:val="20"/>
                <w:highlight w:val="none"/>
                <w:lang w:bidi="ar"/>
              </w:rPr>
              <w:t xml:space="preserve">微小形变；7.探究静摩擦力的大小随拉力的变化；8.测定动摩擦力因数；9.探究弹簧弹力与形变量的关系；10.探究两个互成角度的力的合成规律；11.用打点计时器验证机械能守恒定律；12.用气垫导轨验证动量守恒定律；13.伽利略斜面实验；14.超重和失重现象；15.做曲线运动物体的速度方向；16.做曲线运动的条件；17.观察钢球的运动轨迹；18.观察蜡块的运动；19.运动的合成与分解；20.探究平抛运动的特点；21.研究斜槽末端小球碰撞时的动量守恒；22.用单摆测定重力加速度；23.感受向心力与哪些因素有关；24</w:t>
            </w:r>
            <w:r>
              <w:rPr>
                <w:rFonts w:hint="eastAsia" w:ascii="宋体" w:hAnsi="宋体" w:cs="宋体"/>
                <w:b w:val="0"/>
                <w:bCs w:val="0"/>
                <w:color w:val="000000"/>
                <w:sz w:val="20"/>
                <w:szCs w:val="20"/>
                <w:highlight w:val="none"/>
                <w:lang w:bidi="ar"/>
              </w:rPr>
              <w:t xml:space="preserve">.探究向心力与半径、角速度、质量的关系；25.观察碰撞前后两球运动的变化；26.动量传递演示；27.演示反冲现象；28.用气垫导轨验证机械能守恒定律；29.观察弹簧振子的运动；30.描绘简谐运动的图像；31.测量小球振动的周期；32.观察两个小球的振动情况；33.影响单摆周期的因素；34.探究单摆周期与摆长的关系；35.研究受迫振动的频率；36.演示共振现象；37.观察波的产生和传播；38.水波的反射；39.水波的衍射；40.观察波的叠加现象；41.观察水波的干涉；42.声音的干涉；43.蜂鸣器音调的变化。</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高中物理电学演示仪器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器件配置：玻棒(附丝绸)1对、胶棒(附毛皮)1对、箔片验电器1对、指针验电器1对、移电球（验电球）1个、验电器连接杆1个、正负电荷</w:t>
            </w:r>
            <w:r>
              <w:rPr>
                <w:rFonts w:hint="eastAsia" w:ascii="宋体" w:hAnsi="宋体" w:cs="宋体"/>
                <w:b w:val="0"/>
                <w:bCs w:val="0"/>
                <w:color w:val="000000"/>
                <w:sz w:val="20"/>
                <w:szCs w:val="20"/>
                <w:highlight w:val="none"/>
                <w:lang w:bidi="ar"/>
              </w:rPr>
              <w:t xml:space="preserve">检验器1个、范氏起电机1台、感应起电机1台、电子起电机1台、枕形导体1对、球形导体1套、尖形布电器1个、验电幡1个、电荷间作用力演示器1台、库仑扭秤模型1台、验电羽1对、电场线演示器1套、等势线描绘实验器1套、法拉第笼1套、避雷针演示器（由避雷针和接地导线组成）1套、静电实验箱（可演示静电除尘、避雷针原理、静电屏蔽、静电植绒、静电乒乓等实验）1套、静电计（用于测量静电电荷电量）1个、电子束演示器1台、电场中带电粒子运动模拟演示器（由模拟屏、加速旋钮、偏转旋钮等组成）1台、平行板电容器演示器1套、常用电容器示</w:t>
            </w:r>
            <w:r>
              <w:rPr>
                <w:rFonts w:hint="eastAsia" w:ascii="宋体" w:hAnsi="宋体" w:cs="宋体"/>
                <w:b w:val="0"/>
                <w:bCs w:val="0"/>
                <w:color w:val="000000"/>
                <w:sz w:val="20"/>
                <w:szCs w:val="20"/>
                <w:highlight w:val="none"/>
                <w:lang w:bidi="ar"/>
              </w:rPr>
              <w:t xml:space="preserve">教板（电解电容器、云母电容器、陶瓷电容器、独石电容器、薄膜电容器、贴片电容器、微调电容器、可变电容器等）1套、电容器实验板（由100μF、470μF、1000μF、2200μF、4700μF的电解电容器组成）1套、电容器的充、放电演示器1套、连接导线（500mm红色连接导线4根，500mm蓝色连接导线4根，250mm红色连接导线4根，250mm蓝色连接导线4根、1000mm红色连接导线2根，1000mm蓝色连接导线2根，鳄鱼夹6个）1套、常用电阻器示教板【定值电阻（碳膜电阻、金属膜电阻、绕线电阻、水泥电阻、</w:t>
            </w:r>
            <w:r>
              <w:rPr>
                <w:rFonts w:hint="eastAsia" w:ascii="宋体" w:hAnsi="宋体" w:cs="宋体"/>
                <w:b w:val="0"/>
                <w:bCs w:val="0"/>
                <w:color w:val="000000"/>
                <w:sz w:val="20"/>
                <w:szCs w:val="20"/>
                <w:highlight w:val="none"/>
                <w:lang w:bidi="ar"/>
              </w:rPr>
              <w:t xml:space="preserve">贴片式电阻等）、可变电阻（电位器、小型滑动变阻器）、特殊电阻（热敏电阻、光敏电阻、压敏电阻）等】1套、电阻实验板（由5Ω、10Ω、15Ω、30Ω、47Ω、100Ω、330Ω、1kΩ、10kΩ、47kΩ组成）1套、二极管实验板（由整流二极管、稳压二极管、发光二极管、检波二极管、变容二极管、开关二极管等组成）1套、演示可调内阻电池（气压调解式）1套、高中教学电源1台、演示电表（2.5级，直流电流：0.5A、2.5A，直流电压：2.5V、10V，检流：-100uA～100uA）1台、数字演示电表（4-1/2位，双</w:t>
            </w:r>
            <w:r>
              <w:rPr>
                <w:rFonts w:hint="eastAsia" w:ascii="宋体" w:hAnsi="宋体" w:cs="宋体"/>
                <w:b w:val="0"/>
                <w:bCs w:val="0"/>
                <w:color w:val="000000"/>
                <w:sz w:val="20"/>
                <w:szCs w:val="20"/>
                <w:highlight w:val="none"/>
                <w:lang w:bidi="ar"/>
              </w:rPr>
              <w:t xml:space="preserve">面显示）1台、多用电表（指针式，2.5级）1个、数字式多用电表（4-1/2位，电压、电流、电阻、电容、二极管、温度、频率测试）1个、钢卷尺（5m）1把、电阻定律演示器1台、金属导体电阻与温度关系演示器（由底座、面板、灯座、钨丝灯、开关等组成，输入电压DC3V）1套、电阻箱（六位，99999.9Ω，0.1级）1个、滑动变阻器（10Ω,2A）1个、滑动变阻器（20Ω,2A）1个、滑动变阻器（50Ω,1.5A）1个、电路综合演示实验箱（磁吸式，由开关、灯座、定值电阻、滑动变阻器、电流表、电压表、导线等组成）1箱。</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1.观察静电感应现象；2.模拟库仑定律实验；3.探究影响电荷间相互作用力的因素；4.模拟电场线的分布情况；5.利用法拉第笼演示静电屏蔽现象；6.观察带电</w:t>
            </w:r>
            <w:r>
              <w:rPr>
                <w:rFonts w:hint="eastAsia" w:ascii="宋体" w:hAnsi="宋体" w:cs="宋体"/>
                <w:b w:val="0"/>
                <w:bCs w:val="0"/>
                <w:color w:val="000000"/>
                <w:sz w:val="20"/>
                <w:szCs w:val="20"/>
                <w:highlight w:val="none"/>
                <w:lang w:bidi="ar"/>
              </w:rPr>
              <w:t xml:space="preserve">粒子在电场中的运动；7.观察电容器的充、放电现象；8.观察和认识常用电容器的形状和结构；9.探究影响平行板电容器电容大小的因素；10.识别电容器示教板上不同类型的电容器；11.观察并识别常见的电阻元件；12.长度的测量及其测量工具的选用；13.探究金属导体的电阻与材料、横截面积、长度的定量关系；14.观察金属导体电阻与温度的关系；15.测量金属丝的电阻率；16.学习使用多用电表；17.滑动变阻器的工作原理；18.串、并联电路电阻的特点；19.闭合电路欧姆定律；20.测量电源的电动势和内阻；21.电表的改装。</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高中物理电磁学演示仪器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司南模型1套、翼形磁针1对、条形磁铁（D-CG-LT-180）2对、蹄形磁铁（D-CG-LU-100）2对、充磁器1台、磁感线演示板（无色透明塑料外壳，油封铁粉式）1套、立体磁感线演示器（永磁）1个、奥斯特实验演示器1套、铁粉1盒、通电平行直导线相互作</w:t>
            </w:r>
            <w:r>
              <w:rPr>
                <w:rFonts w:hint="eastAsia" w:ascii="宋体" w:hAnsi="宋体" w:cs="宋体"/>
                <w:b w:val="0"/>
                <w:bCs w:val="0"/>
                <w:color w:val="000000"/>
                <w:sz w:val="20"/>
                <w:szCs w:val="20"/>
                <w:highlight w:val="none"/>
                <w:lang w:bidi="ar"/>
              </w:rPr>
              <w:t xml:space="preserve">用演示器1套、螺线管演示器（透明底板，纯铜漆包线，单层绕线，线圈绕向清晰可见）1组、电磁感应演示器1套、法拉第圆盘发电机模型（由匀强磁场、铜片、电刷、中心转轴、摇柄等组成）1个、电磁波的发送和接收演示器（由高频振荡器和接收器组成）1套、微电流放大器（放大倍数1000倍）1个、方形线圈1套、安培力演示器1套、洛伦兹力演示器（电解液式）1台、阴极射线管（磁偏转管）1个、模拟环形回旋加速器（由线圈，轨道，钢球组成）1台、环形磁铁（D-CG-YT-36）1个、演示原副线圈1套、楞次定律演示器1套、管内外落磁实验器（</w:t>
            </w:r>
            <w:r>
              <w:rPr>
                <w:rFonts w:hint="eastAsia" w:ascii="宋体" w:hAnsi="宋体" w:cs="宋体"/>
                <w:b w:val="0"/>
                <w:bCs w:val="0"/>
                <w:color w:val="000000"/>
                <w:sz w:val="20"/>
                <w:szCs w:val="20"/>
                <w:highlight w:val="none"/>
                <w:lang w:bidi="ar"/>
              </w:rPr>
              <w:t xml:space="preserve">由底座、透明亚克力管、铜管、铝管以及同尺寸的塑料柱、铷磁铁等组成）1套、电磁弹跳环演示器1套、法拉第电磁感应定律演示仪1套、自感现象演示器1台、电磁阻尼演示器1台、教学示波器（DCC~5MHz）1台、高频信号发生器（0.4MHz~130MHz分段连续可调）1台、交流电路特性演示器1台、可拆变压器1套、高压输变电模拟演示器1台、三相电机原理演示器1台、手摇交直流发电机1个、手摇三相交流发电机1台、单相交流发电机1台、单匝线圈电机原理演示器1台、电磁振荡演示仪1台、赫兹实验演示器1台、感应圈（电子开关式）1台。</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磁体对通电导线产生作用力；2.观察常见磁场的分布；3.判断通电直导线周围的磁场方向；4.判断通电线圈周围磁场的方向；5.平行通电直导线之间的相互作用；6.探究影响通电导线受力的因素；7.安培力的方向；8.观察电子束在磁场中的偏转；9.利用洛伦兹力演示器观察带电粒子的运动径迹；10.模拟环形回旋加速器；11.观察电磁感应现象；12.楞次定律演示实验；13.探究影响感应</w:t>
            </w:r>
            <w:r>
              <w:rPr>
                <w:rFonts w:hint="eastAsia" w:ascii="宋体" w:hAnsi="宋体" w:cs="宋体"/>
                <w:b w:val="0"/>
                <w:bCs w:val="0"/>
                <w:color w:val="000000"/>
                <w:sz w:val="20"/>
                <w:szCs w:val="20"/>
                <w:highlight w:val="none"/>
                <w:lang w:bidi="ar"/>
              </w:rPr>
              <w:t xml:space="preserve">电流方向的因素；14.法拉第电磁感应定律；15.观察电磁阻尼现象；16.观察电磁驱动（铝框的运动）；17.了解三相电动机；18.观察自感现象；19.观察两个灯泡的发光情况；20.观察开关断开时灯泡的亮度；21.观察交变电流的波形；22.观察交变电流的方向（交流发电机）；23.了解交流发电机的结构；24.认识变压器的结构、原理及功能；25.探究变压器线圈两端的电压与匝数的关系；26.电感对交变电流的影响；27.电容对交变电流的影响；28.模拟高压输电；29.观察振荡电路中电压的波形；30.电磁波的发射与接收。</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高中物理近代物理演示仪器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阴极射线管（示直进管）1支、阴极射线管（机械效应管）1支、阴极射线管（静电偏转管）1支、光谱管组（6支直行光谱管）1套、棱镜分光镜1套、普朗克常量测定器（由光电管、光源、滤色片等组成）1台、感应圈（电子开关式）1台、光电效应演示器（由紫外线灯、锌板、铜网等组成）1套、光电效应演示器【由光电管及配套底座、滤光片（红、绿、蓝）组成、输入电压DC3V】1套。</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1.观察不同阴极射线管的外观、结构及工作情况；2.观察氢原子、钠原子、汞原子等原子光谱；3.观察光电效应。</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高中物理传感器演示仪器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常用传感器元件示教板【含干簧管、热敏电阻（NTC、PTC）、压力、光敏电阻、霍尔元件、气敏元件等】1套、霍尔效应示教板（由毫安表、微安表、霍尔元件、电阻器、按钮开关、接线柱、面板、底座等组成，输入电压DC3V）1套、热敏电阻及应用演示板（由热敏电阻及应用电路组成，输入电压DC5V）1套、光敏电阻及应用演示板（由光敏电阻及其应用电路组成，输入电压DC5V）1套、逻辑电路实验板（与或非三种门电路，输入电压DC5V）1套、门窗防盗报警装置实验器1套、光控开关实验器示教板1套。</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1.认识常见传感器；2.了解霍尔效应；3.探究热敏电阻的电阻大小随温度的变化情况；4.探究光敏电阻的电阻大小随光强的变化情况；5.利用传感器制作门窗防盗报警装置；6.利用传感器制作光控开关电路。</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高中物理光学演示仪器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光具座（导轨长1000mm,光具座带双面刻度）1套、光的传播、反射、折射实验器1套、梯形玻璃砖1块、测量玻璃的折射率实验配套材料【含白纸（8开）、图钉、大头针、木板（400mm×600mm）】1套、光导纤维应用演示器1台、光的干涉衍射偏振演示器（由光学轨道、光源、光屏、光栅、双缝、单缝、偏振片等组成）1套。</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1.光的折射定律；2.测量玻璃的折射率；3.光的全反射；4.观察光的干涉、衍射和偏振现象；5.光的双缝干涉；6.光的薄膜干涉；7.光的单缝衍射；8.光纤的应用；9.光的偏振。</w:t>
            </w:r>
            <w:r>
              <w:rPr>
                <w:b w:val="0"/>
                <w:bCs w:val="0"/>
              </w:rPr>
            </w:r>
            <w:r/>
          </w:p>
        </w:tc>
      </w:tr>
      <w:tr>
        <w:trPr>
          <w:trHeight w:val="403"/>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高中物理热学演示仪器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油膜实验器1套、智能生物显微镜（单目广视场目镜：10×/φ18；消色差物镜：4×、10×、40×；LED光源，亮度连续可调；双层移动式载物台；图像参数：200万，1080P/25fps）1台、分子间隔演示器（由带刻度透明盛液柱、油酸、5mL注射器、底座组成）1套、晶体和非晶体样品盒1套、晶体空间点阵模型（碳的同素异构体模型）1套、晶体和非晶体特性实验器【含电烙铁、尖嘴</w:t>
            </w:r>
            <w:r>
              <w:rPr>
                <w:rFonts w:hint="eastAsia" w:ascii="宋体" w:hAnsi="宋体" w:cs="宋体"/>
                <w:b w:val="0"/>
                <w:bCs w:val="0"/>
                <w:color w:val="000000"/>
                <w:sz w:val="20"/>
                <w:szCs w:val="20"/>
                <w:highlight w:val="none"/>
                <w:lang w:bidi="ar"/>
              </w:rPr>
              <w:t xml:space="preserve">钳、蜂蜡、电烙铁、缝纫机针、薄玻璃片（厚0.2mm）、白云母片（厚0.1mm）、针孔隔热板（100mm×100mm）】1套、伽尔顿板1套、内聚力演示器1套、液体表表面张力演示器（由圆形线框、凸环形线框、三角体线框、正方体线框、收缩线框、双环线框等组成）1套、浸润和不浸润现象演示器【包含两块玻璃板（一块为清洁的玻璃片、一块为涂有介质的玻璃片）、滴管】1套、毛细现象演示器1套、气压模拟演示器（由透明塑料气缸、活塞、钢球、振动器等组成）1件、玻意尔定律演示器（由带刻度气室、气压计、放气阀、底座等组成）1套、盖·吕</w:t>
            </w:r>
            <w:r>
              <w:rPr>
                <w:rFonts w:hint="eastAsia" w:ascii="宋体" w:hAnsi="宋体" w:cs="宋体"/>
                <w:b w:val="0"/>
                <w:bCs w:val="0"/>
                <w:color w:val="000000"/>
                <w:sz w:val="20"/>
                <w:szCs w:val="20"/>
                <w:highlight w:val="none"/>
                <w:lang w:bidi="ar"/>
              </w:rPr>
              <w:t xml:space="preserve">萨克定律演示器（由尺度板、玻璃管、橡皮塞、烧瓶、温度计、支脚等组成）1套、气体定律实验器（由压力表、固定架、体积标尺、气室等组成）1套、烧杯用电加热器（250W，功率可调，密封式）1台、教学用远红外加热器1台、酒精灯（150mL）1个、量杯（250mL）2个、量筒（100mL）2个、烧杯（250mL）2个、水银温度计（0～200℃，1℃，有保护套）2支、红液温度计（-20℃～100℃，1℃）2支、数字温度计（-30℃～200℃，0.1℃）1支、空气压缩引火仪1个、气体做功内能减少演示器1套、饮水鸭模型1个。</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可完成的实验：</w:t>
            </w:r>
            <w:r>
              <w:rPr>
                <w:rFonts w:hint="eastAsia" w:ascii="宋体" w:hAnsi="宋体" w:cs="宋体"/>
                <w:b w:val="0"/>
                <w:bCs w:val="0"/>
                <w:color w:val="000000"/>
                <w:sz w:val="20"/>
                <w:szCs w:val="20"/>
                <w:highlight w:val="none"/>
                <w:lang w:bidi="ar"/>
              </w:rPr>
              <w:br w:type="textWrapping" w:clear="all"/>
            </w:r>
            <w:r>
              <w:rPr>
                <w:rFonts w:hint="eastAsia" w:ascii="宋体" w:hAnsi="宋体" w:cs="宋体"/>
                <w:b w:val="0"/>
                <w:bCs w:val="0"/>
                <w:color w:val="000000"/>
                <w:sz w:val="20"/>
                <w:szCs w:val="20"/>
                <w:highlight w:val="none"/>
                <w:lang w:bidi="ar"/>
              </w:rPr>
              <w:t xml:space="preserve">1.观察分子的扩散现象；2.用油膜法估测分子的大小；3.观察分子的布朗运动；4.验证分子之间存在空隙；5.探究分子运动速率分布规律；6.验证分子间存在引力；7.模拟气体压强产生的机理；8.探究气体等温变化的规律；9.探究气体的等压变化规律；10.探究气体的等容变化规律；11.观察肥皂膜和棉线的变化；12.浸润和不浸润现象；13.观察毛细现象；14.机械能与内能的转化；15.晶体与非晶体。</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升降台（学生用，不锈钢)1个、止水夹（螺旋型）3个、陶土网（140mm×140mm）1块、支</w:t>
            </w:r>
            <w:r>
              <w:rPr>
                <w:rStyle w:val="1007"/>
                <w:b w:val="0"/>
                <w:bCs w:val="0"/>
                <w:color w:val="000000"/>
                <w:highlight w:val="none"/>
                <w:lang w:bidi="ar"/>
              </w:rPr>
              <w:t xml:space="preserve">座（可拼接）2对、支撑杆（2根/套，单根杆长300mm，杆与杆可以螺纹对接）2套、双嘴钳2个、万向夹2个、铁环（大号）1个、铁环（中号）1个、铁环(小号)1个、三脚架1个、酒精灯1个、燃烧匙(215mm)1个、坩埚钳(200mm)1把、烧杯夹(200mm)1个、电子点火器1把、泥三角1个、坩埚(30mL)1个、蒸发皿(100mm)1个、剪刀1把、美工刀1把、锈钢长刮板1个、激光笔(红光)1支、镊子(125mm)1把、药匙(红、黄、绿各3支)1套、研钵（60m,附研杵）1套、电子秒表(分辨力0.01s)1个。</w:t>
            </w:r>
            <w:r>
              <w:rPr>
                <w:rStyle w:val="1007"/>
                <w:b w:val="0"/>
                <w:bCs w:val="0"/>
                <w:color w:val="000000"/>
                <w:highlight w:val="none"/>
                <w:lang w:bidi="ar"/>
              </w:rPr>
              <w:br w:type="textWrapping" w:clear="all"/>
            </w:r>
            <w:r>
              <w:rPr>
                <w:rStyle w:val="1008"/>
                <w:b w:val="0"/>
                <w:bCs w:val="0"/>
                <w:color w:val="000000"/>
                <w:highlight w:val="none"/>
                <w:lang w:bidi="ar"/>
              </w:rPr>
              <w:t xml:space="preserve">备注：</w:t>
            </w:r>
            <w:r>
              <w:rPr>
                <w:rStyle w:val="1007"/>
                <w:b w:val="0"/>
                <w:bCs w:val="0"/>
                <w:color w:val="000000"/>
                <w:highlight w:val="none"/>
                <w:lang w:bidi="ar"/>
              </w:rPr>
              <w:t xml:space="preserve">本实验箱为通用仪器，与其他实验箱配套使用。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玻璃棒(200mm)2根、镍铬丝棒1根、钴玻璃片1片、胶头滴管(90mm)2支、胶头滴管(200mm)2支、试管(φ15mm×150mm)12支、试管(φ20mm×200mm)4支、试管(φ30mm×200mm)4支、离心试管(10mL)4支、石英试管(φ20mm×200mm)2支、Y形试管(φ18mm×150mm)2支、</w:t>
            </w:r>
            <w:r>
              <w:rPr>
                <w:rStyle w:val="1007"/>
                <w:b w:val="0"/>
                <w:bCs w:val="0"/>
                <w:color w:val="000000"/>
                <w:highlight w:val="none"/>
                <w:lang w:bidi="ar"/>
              </w:rPr>
              <w:t xml:space="preserve">U形管(φ20mm×200mm)1支、试管夹(180mm)1个、硅胶管(400mm)2根、玻璃导管(90°，85mm＋55mm)4支、玻璃导管(200mm)4支、玻璃导管(80mm)4支、橡胶塞(14/18/18mm，孔径7mm×1)2个、橡胶塞(16/21/25mm，孔径7mm×1)2个、橡胶塞(22/30/30mm，孔径7mm×1)2个、移液器(100μL～1000μL，配枪头)1套、数字温度计(笔式，－30℃～200℃)1支、温度计(－10℃～110℃)1支、烧杯(50mL)2个、烧杯(100mL)2</w:t>
            </w:r>
            <w:r>
              <w:rPr>
                <w:rStyle w:val="1007"/>
                <w:b w:val="0"/>
                <w:bCs w:val="0"/>
                <w:color w:val="000000"/>
                <w:highlight w:val="none"/>
                <w:lang w:bidi="ar"/>
              </w:rPr>
              <w:t xml:space="preserve">个、烧杯(250mL)2个、漏斗(φ60mm，短颈)1个、塑料洗瓶(250mL)1个、毛玻璃片(100mm×100mm，边缘打磨)1片、集气瓶(250mL)1个、锥形瓶(100mL)2个、结晶皿(φ125mm)1个、表面皿(φ60mm)2个、培养皿(φ90mm)1个、点滴板(陶瓷，6孔)1个、量筒(10mL)1个、量筒(25mL)1个、量筒(50mL)1个、量筒(100mL)1个、二氧化氮球1个、高中学生电源（交流：2V～16V/3A，每2V一档；直流稳压：2V～16V/2A，每2V一档。有过载保护）1台。</w:t>
            </w:r>
            <w:r>
              <w:rPr>
                <w:rStyle w:val="1007"/>
                <w:b w:val="0"/>
                <w:bCs w:val="0"/>
                <w:color w:val="000000"/>
                <w:highlight w:val="none"/>
                <w:lang w:bidi="ar"/>
              </w:rPr>
              <w:br w:type="textWrapping" w:clear="all"/>
            </w:r>
            <w:r>
              <w:rPr>
                <w:rStyle w:val="1008"/>
                <w:b w:val="0"/>
                <w:bCs w:val="0"/>
                <w:color w:val="000000"/>
                <w:highlight w:val="none"/>
                <w:lang w:bidi="ar"/>
              </w:rPr>
              <w:t xml:space="preserve">结合实验箱1及配套实验仪器，可完成的实验：</w:t>
            </w:r>
            <w:r>
              <w:rPr>
                <w:rStyle w:val="1007"/>
                <w:b w:val="0"/>
                <w:bCs w:val="0"/>
                <w:color w:val="000000"/>
                <w:highlight w:val="none"/>
                <w:lang w:bidi="ar"/>
              </w:rPr>
              <w:t xml:space="preserve">1.不同价态含硫物质的转化；2.化学反应速率的影响因素；3.铁及其化合物的性质；4.同周期、同主族元素性质的递变；5.用化学沉淀法去除粗盐中杂质离子；6.化学能转化成电能；7.探究影响化学平衡移动的因素；8.盐类水解的应用；9.简单的电镀实验；10.制作简单的燃料电池；11.简单配合物的形成；12.有机化合物中常见官能团的检验；13.糖类的性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118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Style w:val="1007"/>
                <w:b w:val="0"/>
                <w:bCs w:val="0"/>
                <w:color w:val="000000"/>
                <w:highlight w:val="none"/>
                <w:lang w:bidi="ar"/>
              </w:rPr>
              <w:t xml:space="preserve">实验箱规格：</w:t>
            </w:r>
            <w:r>
              <w:rPr>
                <w:rFonts w:hint="eastAsia" w:ascii="宋体" w:hAnsi="宋体" w:cs="宋体"/>
                <w:b w:val="0"/>
                <w:bCs w:val="0"/>
                <w:color w:val="000000"/>
                <w:sz w:val="20"/>
                <w:szCs w:val="20"/>
                <w:highlight w:val="none"/>
                <w:lang w:bidi="ar"/>
              </w:rPr>
              <w:t xml:space="preserve">≥</w:t>
            </w:r>
            <w:r>
              <w:rPr>
                <w:rStyle w:val="1009"/>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9"/>
                <w:b w:val="0"/>
                <w:bCs w:val="0"/>
                <w:color w:val="000000"/>
                <w:highlight w:val="none"/>
                <w:lang w:bidi="ar"/>
              </w:rPr>
              <w:br w:type="textWrapping" w:clear="all"/>
            </w:r>
            <w:r>
              <w:rPr>
                <w:rStyle w:val="1010"/>
                <w:b w:val="0"/>
                <w:bCs w:val="0"/>
                <w:color w:val="000000"/>
                <w:highlight w:val="none"/>
                <w:lang w:bidi="ar"/>
              </w:rPr>
              <w:t xml:space="preserve">实验箱特点：</w:t>
            </w:r>
            <w:r>
              <w:rPr>
                <w:rStyle w:val="1009"/>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9"/>
                <w:b w:val="0"/>
                <w:bCs w:val="0"/>
                <w:color w:val="000000"/>
                <w:highlight w:val="none"/>
                <w:lang w:bidi="ar"/>
              </w:rPr>
              <w:br w:type="textWrapping" w:clear="all"/>
            </w:r>
            <w:r>
              <w:rPr>
                <w:rStyle w:val="1010"/>
                <w:b w:val="0"/>
                <w:bCs w:val="0"/>
                <w:color w:val="000000"/>
                <w:highlight w:val="none"/>
                <w:lang w:bidi="ar"/>
              </w:rPr>
              <w:t xml:space="preserve">器件配置：</w:t>
            </w:r>
            <w:r>
              <w:rPr>
                <w:rStyle w:val="1009"/>
                <w:b w:val="0"/>
                <w:bCs w:val="0"/>
                <w:color w:val="000000"/>
                <w:highlight w:val="none"/>
                <w:lang w:bidi="ar"/>
              </w:rPr>
              <w:t xml:space="preserve">玻璃棒(200mm)2根、低压发热棒(12V)1支、胶头滴管(90mm)2支、试管(φ15mm×150mm)4支、试管(φ20mm×200mm)4支、磨口试管(磨口24/29，φ30mm×200mm)1支、小咀磨口接头(磨口24/29)2个、硬质玻璃管(双口型，磨口24/29，200mm)1支、Y形试管(φ18mm×150mm)1支、试管夹(木质，180mm)1个、硅胶管(400mm)2根、玻璃导管(90°，190mm＋60mm)4支、玻璃导管(90°，85mm＋55mm)4支</w:t>
            </w:r>
            <w:r>
              <w:rPr>
                <w:rStyle w:val="1009"/>
                <w:b w:val="0"/>
                <w:bCs w:val="0"/>
                <w:color w:val="000000"/>
                <w:highlight w:val="none"/>
                <w:lang w:bidi="ar"/>
              </w:rPr>
              <w:t xml:space="preserve">、玻璃导管(200mm)4支、玻璃导管(80mm)4支、橡胶塞(14/18/18mm，孔径7mm×1)2个、橡胶塞(16/21/25mm，孔径7mm×1)2个、鲁尔接头(二通)2个、鲁尔接头(三通)1个、量气管(25mL，下通)2支、移液管(1mL，刻度)1支、移液管(2mL，刻度)1支、移液管(5mL，刻度)1支、移液管(10mL，刻度)1支、移液管(20mL，刻度)1支、滴定管(25mL，酸式、碱式各一支)1套、双连球1个、洗耳球(60mL)2个、pH计(分度：0.1)1支、注射器(塑料，20mL，带针</w:t>
            </w:r>
            <w:r>
              <w:rPr>
                <w:rStyle w:val="1009"/>
                <w:b w:val="0"/>
                <w:bCs w:val="0"/>
                <w:color w:val="000000"/>
                <w:highlight w:val="none"/>
                <w:lang w:bidi="ar"/>
              </w:rPr>
              <w:t xml:space="preserve">头)2支、烧杯(50mL)2个、烧杯(100mL)2个、烧杯(250mL)2个、锥形瓶(100mL)2个、漏斗(φ60mm，短颈)1个、塑料洗瓶(250mL)1个、石英玻璃蒸发皿(φ90mm)1个、培养皿(φ90mm)1个、培养皿(φ120mm)1个、结晶皿(φ125mm)1个、层析缸(100mm×100mm)1个、毛细管(φ100μm)1筒、容量瓶(50mL)1个、容量瓶(100mL)1个、容量瓶(250mL)1个、量筒(10mL)1个、量筒(25mL)1个、量筒(50mL)1个、量筒(100mL)1个。</w:t>
            </w:r>
            <w:r>
              <w:rPr>
                <w:rStyle w:val="1009"/>
                <w:b w:val="0"/>
                <w:bCs w:val="0"/>
                <w:color w:val="000000"/>
                <w:highlight w:val="none"/>
                <w:lang w:bidi="ar"/>
              </w:rPr>
              <w:br w:type="textWrapping" w:clear="all"/>
            </w:r>
            <w:r>
              <w:rPr>
                <w:rStyle w:val="1010"/>
                <w:b w:val="0"/>
                <w:bCs w:val="0"/>
                <w:color w:val="000000"/>
                <w:highlight w:val="none"/>
                <w:lang w:bidi="ar"/>
              </w:rPr>
              <w:t xml:space="preserve">结合实验箱1及配套实验仪器，可完成的实验：</w:t>
            </w:r>
            <w:r>
              <w:rPr>
                <w:rStyle w:val="1009"/>
                <w:b w:val="0"/>
                <w:bCs w:val="0"/>
                <w:color w:val="000000"/>
                <w:highlight w:val="none"/>
                <w:lang w:bidi="ar"/>
              </w:rPr>
              <w:t xml:space="preserve">1.配制一定物质的量浓度的氯化钠溶液；2.强酸和强碱的中和滴定；3.乙醇、乙酸的主要性质；4.乙酸乙酯的制备和性质。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119</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9"/>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9"/>
                <w:b w:val="0"/>
                <w:bCs w:val="0"/>
                <w:color w:val="000000"/>
                <w:highlight w:val="none"/>
                <w:lang w:bidi="ar"/>
              </w:rPr>
              <w:br w:type="textWrapping" w:clear="all"/>
            </w:r>
            <w:r>
              <w:rPr>
                <w:rStyle w:val="1010"/>
                <w:b w:val="0"/>
                <w:bCs w:val="0"/>
                <w:color w:val="000000"/>
                <w:highlight w:val="none"/>
                <w:lang w:bidi="ar"/>
              </w:rPr>
              <w:t xml:space="preserve">实验箱特点：</w:t>
            </w:r>
            <w:r>
              <w:rPr>
                <w:rStyle w:val="1009"/>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9"/>
                <w:b w:val="0"/>
                <w:bCs w:val="0"/>
                <w:color w:val="000000"/>
                <w:highlight w:val="none"/>
                <w:lang w:bidi="ar"/>
              </w:rPr>
              <w:br w:type="textWrapping" w:clear="all"/>
            </w:r>
            <w:r>
              <w:rPr>
                <w:rStyle w:val="1010"/>
                <w:b w:val="0"/>
                <w:bCs w:val="0"/>
                <w:color w:val="000000"/>
                <w:highlight w:val="none"/>
                <w:lang w:bidi="ar"/>
              </w:rPr>
              <w:t xml:space="preserve">器件配置：</w:t>
            </w:r>
            <w:r>
              <w:rPr>
                <w:rStyle w:val="1009"/>
                <w:b w:val="0"/>
                <w:bCs w:val="0"/>
                <w:color w:val="000000"/>
                <w:highlight w:val="none"/>
                <w:lang w:bidi="ar"/>
              </w:rPr>
              <w:t xml:space="preserve">温度计(0～200℃)1支、玻璃塞(磨口19/26)1个、单双可控接头(四氟活塞，磨口24/29)1个、单通活塞接头(磨口19/26)1个、短颈磨口漏斗(磨口24/29)1个、球形漏</w:t>
            </w:r>
            <w:r>
              <w:rPr>
                <w:rStyle w:val="1009"/>
                <w:b w:val="0"/>
                <w:bCs w:val="0"/>
                <w:color w:val="000000"/>
                <w:highlight w:val="none"/>
                <w:lang w:bidi="ar"/>
              </w:rPr>
              <w:t xml:space="preserve">斗(磨口24/29)1个、启普发生器底座(85mm×160mm)1个、具支洗气瓶（100mL，带盖)2个、磨口试管(磨口24/29，φ30mm×200mm)2支、螺口塞具支接头（带盖，顶螺口14mm，磨口24/29)1个、口塞型具支接头(磨口24/29)1个、分液漏斗(磨口24/29，梨形)1个、小咀磨口接头(磨口24/29)2个、硬质玻璃管(双口型，磨口24/29，200mm)1支、玻璃导管(90°，85mm＋55mm)4支、玻璃导管(90°，190mm＋60mm)2支、玻璃导管(φ8mm×200mm)2</w:t>
            </w:r>
            <w:r>
              <w:rPr>
                <w:rStyle w:val="1009"/>
                <w:b w:val="0"/>
                <w:bCs w:val="0"/>
                <w:color w:val="000000"/>
                <w:highlight w:val="none"/>
                <w:lang w:bidi="ar"/>
              </w:rPr>
              <w:t xml:space="preserve">支、玻璃导管(φ8mm×80mm)2支、硅胶管（黄色，400mm)2根、橡胶塞(22/30/30mm，孔径7mm×1)1个、橡胶塞(22/30/30mm，孔径7mm×2)1个、毛玻璃片(40mm×40mm)1块、集气瓶(125mL，口径35mm)1个、圆底烧瓶(磨口24/29，短颈，250mL)2个、烧杯(50mL)1个、烧杯(100mL)1个、烧杯(250mL)1个、烧杯(500mL)1个、胶头滴管(90mm)2支、药匙(红，黄，绿各3个)1套、镊子(125mm)1把、试管(φ15mm×150mm)2支。</w:t>
            </w:r>
            <w:r>
              <w:rPr>
                <w:rStyle w:val="1009"/>
                <w:b w:val="0"/>
                <w:bCs w:val="0"/>
                <w:color w:val="000000"/>
                <w:highlight w:val="none"/>
                <w:lang w:bidi="ar"/>
              </w:rPr>
              <w:br w:type="textWrapping" w:clear="all"/>
            </w:r>
            <w:r>
              <w:rPr>
                <w:rStyle w:val="1010"/>
                <w:b w:val="0"/>
                <w:bCs w:val="0"/>
                <w:color w:val="000000"/>
                <w:highlight w:val="none"/>
                <w:lang w:bidi="ar"/>
              </w:rPr>
              <w:t xml:space="preserve">本实验箱配置有实验室制取氧气和氢气的改进仪器，以培养学生创新和改进实验仪器的意识，结合实验箱1，可完成的实验：</w:t>
            </w:r>
            <w:r>
              <w:rPr>
                <w:rStyle w:val="1009"/>
                <w:b w:val="0"/>
                <w:bCs w:val="0"/>
                <w:color w:val="000000"/>
                <w:highlight w:val="none"/>
                <w:lang w:bidi="ar"/>
              </w:rPr>
              <w:t xml:space="preserve">1.氧气的实验室制取；2.氢气的实验室制取；3.氢气还原金属氧化物；4.一氧化碳的实验室制取；5.一氧化碳还原金属氧化物；6.二氧化碳的实验室制取；7.氯化氢的实验室制取；8.氯化氢的喷泉实验；9.氯气的实验室制取；10.氨气的实验室制取；11.氨气的喷泉实验；12.乙烯的实验室制取；13.乙炔的实验室制取。</w:t>
            </w:r>
            <w:r>
              <w:rPr>
                <w:b w:val="0"/>
                <w:bCs w:val="0"/>
              </w:rPr>
            </w:r>
            <w:r/>
          </w:p>
        </w:tc>
      </w:tr>
      <w:tr>
        <w:trPr>
          <w:trHeight w:val="754"/>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120</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Style w:val="1008"/>
                <w:b w:val="0"/>
                <w:bCs w:val="0"/>
                <w:color w:val="000000"/>
                <w:highlight w:val="none"/>
                <w:lang w:bidi="ar"/>
              </w:rPr>
              <w:t xml:space="preserve">实验箱规格：</w:t>
            </w:r>
            <w:r>
              <w:rPr>
                <w:rFonts w:hint="eastAsia" w:ascii="宋体" w:hAnsi="宋体" w:cs="宋体"/>
                <w:b w:val="0"/>
                <w:bCs w:val="0"/>
                <w:color w:val="000000"/>
                <w:sz w:val="20"/>
                <w:szCs w:val="20"/>
                <w:highlight w:val="none"/>
                <w:lang w:bidi="ar"/>
              </w:rPr>
              <w:t xml:space="preserve">≥</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温度计(0～200℃)3支、层析柱(磨口24/29，有效长度260mm)1个、圆底烧瓶(磨口24/29，短颈，250mL)1个、蒸馏头（带盖，磨口24/29，螺口14mm，110mm)1个、蛇形冷凝管</w:t>
            </w:r>
            <w:r>
              <w:rPr>
                <w:rStyle w:val="1007"/>
                <w:b w:val="0"/>
                <w:bCs w:val="0"/>
                <w:color w:val="000000"/>
                <w:highlight w:val="none"/>
                <w:lang w:bidi="ar"/>
              </w:rPr>
              <w:t xml:space="preserve">1支、球形冷凝管1支、直型冷凝管(14mm螺口具支×2，总长380mm)1支、冷凝管接头(14mm螺口)2支、硅胶管(1000mm)2根、牛角管(磨口24/29)1支、锥形瓶(250mL)1个、单双可控接头(四氟活塞，磨口24/29)1个、分馏柱（带盖，磨口24/29，具支螺口14mm，总长140mm)3个、双球U型管(高70mm×外边距100mm×内边距30mm)1个、分液漏斗(磨口24/29，梨形)1个、玻璃塞(磨口24/29)1个、烧杯(250mL)2个、烧杯(100mL)2个、烧杯(50mL)2个。</w:t>
            </w:r>
            <w:r>
              <w:rPr>
                <w:rStyle w:val="1007"/>
                <w:b w:val="0"/>
                <w:bCs w:val="0"/>
                <w:color w:val="000000"/>
                <w:highlight w:val="none"/>
                <w:lang w:bidi="ar"/>
              </w:rPr>
              <w:br w:type="textWrapping" w:clear="all"/>
            </w:r>
            <w:r>
              <w:rPr>
                <w:rStyle w:val="1008"/>
                <w:b w:val="0"/>
                <w:bCs w:val="0"/>
                <w:color w:val="000000"/>
                <w:highlight w:val="none"/>
                <w:lang w:bidi="ar"/>
              </w:rPr>
              <w:t xml:space="preserve">本实验箱配置有净化水、分馏、萃取的改进仪器，以培养学生创新和改进实验仪器的意识，结合实验箱1，可完成的实验：</w:t>
            </w:r>
            <w:r>
              <w:rPr>
                <w:rStyle w:val="1007"/>
                <w:b w:val="0"/>
                <w:bCs w:val="0"/>
                <w:color w:val="000000"/>
                <w:highlight w:val="none"/>
                <w:lang w:bidi="ar"/>
              </w:rPr>
              <w:t xml:space="preserve">1.净化水；2.蒸馏（例如制取蒸馏水）；3.石油分馏；4.萃取（例如从碘水中提取碘）。</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121</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高中化学配套实验仪器1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w:t>
            </w:r>
            <w:r>
              <w:rPr>
                <w:rStyle w:val="1009"/>
                <w:b w:val="0"/>
                <w:bCs w:val="0"/>
                <w:color w:val="000000"/>
                <w:highlight w:val="none"/>
                <w:lang w:bidi="ar"/>
              </w:rPr>
              <w:t xml:space="preserve">滴定管夹1个、漏斗架1个、移液器架1个、试管架1个、试管刷1把、烧杯刷1把、水槽1个、干燥器(φ240mm)1个、二口烧瓶(250mL)1个、三口烧瓶(250mL)1个、恒压滴液漏斗(桶形，60mL，磨口24#)1个、物质导电性实验配套仪器(包括：灵敏电流计1个、电池盒2个、1号干电池2节、连接导线10根、小灯泡1袋、小灯座1个、单刀开关1个、石墨电极2个)1套、托盘天平(100g，0.1g)1台、分子结构模型（学生用，球棍式)1套。</w:t>
            </w:r>
            <w:r>
              <w:rPr>
                <w:rStyle w:val="1009"/>
                <w:b w:val="0"/>
                <w:bCs w:val="0"/>
                <w:color w:val="000000"/>
                <w:highlight w:val="none"/>
                <w:lang w:bidi="ar"/>
              </w:rPr>
              <w:br w:type="textWrapping" w:clear="all"/>
            </w:r>
            <w:r>
              <w:rPr>
                <w:rStyle w:val="1010"/>
                <w:b w:val="0"/>
                <w:bCs w:val="0"/>
                <w:color w:val="000000"/>
                <w:highlight w:val="none"/>
                <w:lang w:bidi="ar"/>
              </w:rPr>
              <w:t xml:space="preserve">备注：</w:t>
            </w:r>
            <w:r>
              <w:rPr>
                <w:rStyle w:val="1009"/>
                <w:b w:val="0"/>
                <w:bCs w:val="0"/>
                <w:color w:val="000000"/>
                <w:highlight w:val="none"/>
                <w:lang w:bidi="ar"/>
              </w:rPr>
              <w:t xml:space="preserve">本配套实验仪器与实验箱2～3配套使用。</w:t>
            </w:r>
            <w:r>
              <w:rPr>
                <w:b w:val="0"/>
                <w:bCs w:val="0"/>
              </w:rPr>
            </w:r>
            <w:r/>
          </w:p>
        </w:tc>
      </w:tr>
      <w:tr>
        <w:trPr>
          <w:trHeight w:val="905"/>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122</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高中化学配套实验仪器2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Style w:val="1010"/>
                <w:b w:val="0"/>
                <w:bCs w:val="0"/>
                <w:color w:val="000000"/>
                <w:highlight w:val="none"/>
                <w:lang w:bidi="ar"/>
              </w:rPr>
              <w:t xml:space="preserve">器件配置：</w:t>
            </w:r>
            <w:r>
              <w:rPr>
                <w:rStyle w:val="1009"/>
                <w:b w:val="0"/>
                <w:bCs w:val="0"/>
                <w:color w:val="000000"/>
                <w:highlight w:val="none"/>
                <w:lang w:bidi="ar"/>
              </w:rPr>
              <w:t xml:space="preserve">电子天平(200g，0.01g)1台、磁力加热搅拌器（附磁子)1台、封闭电炉(220V，800W～1000W，功率可调)1台、电吹风机(1000W)1台、手持式紫外线灯(365nm)1台。</w:t>
            </w:r>
            <w:r>
              <w:rPr>
                <w:rStyle w:val="1009"/>
                <w:b w:val="0"/>
                <w:bCs w:val="0"/>
                <w:color w:val="000000"/>
                <w:highlight w:val="none"/>
                <w:lang w:bidi="ar"/>
              </w:rPr>
              <w:br w:type="textWrapping" w:clear="all"/>
            </w:r>
            <w:r>
              <w:rPr>
                <w:rStyle w:val="1010"/>
                <w:b w:val="0"/>
                <w:bCs w:val="0"/>
                <w:color w:val="000000"/>
                <w:highlight w:val="none"/>
                <w:lang w:bidi="ar"/>
              </w:rPr>
              <w:t xml:space="preserve">备注：</w:t>
            </w:r>
            <w:r>
              <w:rPr>
                <w:rStyle w:val="1009"/>
                <w:b w:val="0"/>
                <w:bCs w:val="0"/>
                <w:color w:val="000000"/>
                <w:highlight w:val="none"/>
                <w:lang w:bidi="ar"/>
              </w:rPr>
              <w:t xml:space="preserve">所列“数量”指每年级4个平行班的配备数量。</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高中生物组合实验箱（通用）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支座（可拼接）1对、双嘴钳2个、支撑杆（250mm）1根、支撑杆(2根/套，单根杆长300mm，杆与杆可以螺纹对接)1套、铁圈(大、中、小)1套、万向夹2个、酒精灯(150 mL)1个、电子点火器1把、试管架1个、电</w:t>
            </w:r>
            <w:r>
              <w:rPr>
                <w:rStyle w:val="1007"/>
                <w:b w:val="0"/>
                <w:bCs w:val="0"/>
                <w:color w:val="000000"/>
                <w:highlight w:val="none"/>
                <w:lang w:bidi="ar"/>
              </w:rPr>
              <w:t xml:space="preserve">子天平(1000g,0.1g)1台、电子秒表（0.01s）1个、LED台灯（可调光）1台、打孔器（4件）1套、剪刀（140mm，直尖头）1把、解剖器（6件）1套、试管夹2个、止水夹2个、三脚架1个、陶土网（140mm×140mm）1张、移液器（包括：0.5μL～10μL，10μL～100μL，100μL～1000μL，1000μL～5000μL）1套、移液器吸头（包括：0.5μL～10μL，10μL～100μL，100μL～1000μL，1000μL～5000μL）1套、移液器架(可放4支微量移液器)1个。</w:t>
            </w:r>
            <w:r>
              <w:rPr>
                <w:rStyle w:val="1007"/>
                <w:b w:val="0"/>
                <w:bCs w:val="0"/>
                <w:color w:val="000000"/>
                <w:highlight w:val="none"/>
                <w:lang w:bidi="ar"/>
              </w:rPr>
              <w:br w:type="textWrapping" w:clear="all"/>
            </w:r>
            <w:r>
              <w:rPr>
                <w:rStyle w:val="1008"/>
                <w:b w:val="0"/>
                <w:bCs w:val="0"/>
                <w:color w:val="000000"/>
                <w:highlight w:val="none"/>
                <w:lang w:bidi="ar"/>
              </w:rPr>
              <w:t xml:space="preserve">备注：</w:t>
            </w:r>
            <w:r>
              <w:rPr>
                <w:rStyle w:val="1007"/>
                <w:b w:val="0"/>
                <w:bCs w:val="0"/>
                <w:color w:val="000000"/>
                <w:highlight w:val="none"/>
                <w:lang w:bidi="ar"/>
              </w:rPr>
              <w:t xml:space="preserve">本实验箱为通用仪器，与其他实验箱配套使用。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高中生物组合实验箱（分子与细胞）</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Style w:val="1008"/>
                <w:b w:val="0"/>
                <w:bCs w:val="0"/>
                <w:color w:val="000000"/>
                <w:highlight w:val="none"/>
                <w:lang w:bidi="ar"/>
              </w:rPr>
              <w:t xml:space="preserve">实验箱规格：</w:t>
            </w:r>
            <w:r>
              <w:rPr>
                <w:rFonts w:hint="eastAsia" w:ascii="宋体" w:hAnsi="宋体" w:cs="宋体"/>
                <w:b w:val="0"/>
                <w:bCs w:val="0"/>
                <w:color w:val="000000"/>
                <w:sz w:val="20"/>
                <w:szCs w:val="20"/>
                <w:highlight w:val="none"/>
                <w:lang w:bidi="ar"/>
              </w:rPr>
              <w:t xml:space="preserve">≥</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8"/>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量筒(10mL)1个、试管（φ15mm×150mm）6支、刻度试管（φ15mm×150mm）4个、烧杯（100mL）3个、烧杯（250mL）1个、锥形瓶（500mL）3个、玻璃漏斗（φ50mm）1个、培养皿（90mm）1个、表面皿（100mm）1个、胶头滴管（100mm）3支、玻璃棒（200mm）1根、直角玻璃导管（φ7mm，50mm+150mm）6支、毛细玻璃管（50支/盒）1盒、温度计（0～100℃）1 支、切片标本（包括生物组织标本22种，各1片。</w:t>
            </w:r>
            <w:r>
              <w:rPr>
                <w:rStyle w:val="1007"/>
                <w:b w:val="0"/>
                <w:bCs w:val="0"/>
                <w:color w:val="000000"/>
                <w:highlight w:val="none"/>
                <w:lang w:bidi="ar"/>
              </w:rPr>
              <w:t xml:space="preserve">具体配置要求应按附录A中表A.2的要求）1盒、镊子（140mm，带齿直尖头）1把、载玻片1盒、盖玻片1盒、双面刀片1盒、单面刀片1盒、直尺(300mm)1把、pH精密试纸(pH 6.4～8.1）1本、pH广泛试纸1本、洗耳球(60mL)1个、研钵(附研杵)1个、打孔器(给叶片打孔)1套、药匙(大、中、小)1套、比色板(6孔)1块、注射器(30mL)1个、毛笔1支、铅笔(HB)1支、记号笔1支、彩泥(12色)1盒、大头针1盒、卫生香1盒、消毒牙签1盒、吸水纸1盒、擦镜纸1盒、定性滤纸1盒、棉塞1包、纱布1包。</w:t>
            </w:r>
            <w:r>
              <w:rPr>
                <w:rStyle w:val="1007"/>
                <w:b w:val="0"/>
                <w:bCs w:val="0"/>
                <w:color w:val="000000"/>
                <w:highlight w:val="none"/>
                <w:lang w:bidi="ar"/>
              </w:rPr>
              <w:br w:type="textWrapping" w:clear="all"/>
            </w:r>
            <w:r>
              <w:rPr>
                <w:rStyle w:val="1008"/>
                <w:b w:val="0"/>
                <w:bCs w:val="0"/>
                <w:color w:val="000000"/>
                <w:highlight w:val="none"/>
                <w:lang w:bidi="ar"/>
              </w:rPr>
              <w:t xml:space="preserve">结合通用箱，可完成的实验：</w:t>
            </w:r>
            <w:r>
              <w:rPr>
                <w:rStyle w:val="1007"/>
                <w:b w:val="0"/>
                <w:bCs w:val="0"/>
                <w:color w:val="000000"/>
                <w:highlight w:val="none"/>
                <w:lang w:bidi="ar"/>
              </w:rPr>
              <w:t xml:space="preserve">1.使用高倍显微镜观察几种细胞；2.检测生物组织中的还原糖、脂肪和蛋白质；3.用高倍显微镜观察叶绿体和细胞质流动；4.制作真核细胞的三维结构模型；5.探究植物细胞的吸水和失水；6.比较过氧化氢在不同条件下的分解；7.淀粉酶对淀粉和蔗糖的水解作用；8.探究影响酶活性的条件；9.探究酵母菌细胞呼吸的方式；10.绿叶中色素的提取和分离；11.探究环境因素对光合作用强度的影响；12.观察根尖分生区组织细胞的有丝分裂。</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125</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高中生物组合实验箱（遗传与进化）</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试管(φ15mm×150mm)2支、烧杯(250mL)2个、烧杯(500mL)2个、载玻片1盒、盖玻片1盒、培养皿(90mm)1个、接种环1个、直尺(300mm)1把、镊子(140mm，带齿直尖头)1把、小桶2个、DNA双螺旋结构模型组件(组件配置：脱氧核糖20，腺嘌呤5，胸腺嘧啶5，胞嘧啶5，鸟嘌呤5，磷酸22，粗棒22，细棒40)1套、铅笔1支、彩笔5支、记号笔1支、彩泥(12色)1袋、彩球(2色，各20个)1套、胶水1瓶、透明胶带1卷、滤纸1盒、吸水纸1盒、涂布器1个、纱布1卷。</w:t>
            </w:r>
            <w:r>
              <w:rPr>
                <w:rStyle w:val="1007"/>
                <w:b w:val="0"/>
                <w:bCs w:val="0"/>
                <w:color w:val="000000"/>
                <w:highlight w:val="none"/>
                <w:lang w:bidi="ar"/>
              </w:rPr>
              <w:br w:type="textWrapping" w:clear="all"/>
            </w:r>
            <w:r>
              <w:rPr>
                <w:rStyle w:val="1008"/>
                <w:b w:val="0"/>
                <w:bCs w:val="0"/>
                <w:color w:val="000000"/>
                <w:highlight w:val="none"/>
                <w:lang w:bidi="ar"/>
              </w:rPr>
              <w:t xml:space="preserve">结合通用箱，可完成的实验：</w:t>
            </w:r>
            <w:r>
              <w:rPr>
                <w:rStyle w:val="1007"/>
                <w:b w:val="0"/>
                <w:bCs w:val="0"/>
                <w:color w:val="000000"/>
                <w:highlight w:val="none"/>
                <w:lang w:bidi="ar"/>
              </w:rPr>
              <w:t xml:space="preserve">1.性状分离比的模拟实验；2.观察蝗虫精母细胞减数分裂装片；3.建立减数分裂中染色体变化的模型；4.制作DNA分子双螺旋结构模型；5.低温诱导植物细胞染色体数目的变化；6.探究抗生素对细菌的选择作用。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126</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高中生物组合实验箱（稳态与调节、生物与环境）</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Style w:val="1008"/>
                <w:b w:val="0"/>
                <w:bCs w:val="0"/>
                <w:color w:val="000000"/>
                <w:highlight w:val="none"/>
                <w:lang w:bidi="ar"/>
              </w:rPr>
              <w:t xml:space="preserve">实验箱规格：</w:t>
            </w:r>
            <w:r>
              <w:rPr>
                <w:rFonts w:hint="eastAsia" w:ascii="宋体" w:hAnsi="宋体" w:cs="宋体"/>
                <w:b w:val="0"/>
                <w:bCs w:val="0"/>
                <w:color w:val="000000"/>
                <w:sz w:val="20"/>
                <w:szCs w:val="20"/>
                <w:highlight w:val="none"/>
                <w:lang w:bidi="ar"/>
              </w:rPr>
              <w:t xml:space="preserve">≥</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量筒(50mL)2个、试管（φ12mm×70mm）6支、烧杯（50mL）3个、烧杯（250mL）3个、烧杯（500mL）1个、锥形瓶（250mL）2个、玻璃棒（200mm）3根、胶头滴管（200mm）2支、玻璃管2支、白瓷盘（140mm×250mm）1个、pH计（笔式，分辨力0.1）1个、血细胞计数板4个、镊子（140mm，带齿直尖头）1把、软尺（1500 mm）1把、吸虫器（储虫瓶40mm×100mm，带有打孔橡胶塞、吸虫管、吸气管）1套、放大镜1个、记号笔2支、滤纸1盒、纱布10块。</w:t>
            </w:r>
            <w:r>
              <w:rPr>
                <w:rStyle w:val="1007"/>
                <w:b w:val="0"/>
                <w:bCs w:val="0"/>
                <w:color w:val="000000"/>
                <w:highlight w:val="none"/>
                <w:lang w:bidi="ar"/>
              </w:rPr>
              <w:br w:type="textWrapping" w:clear="all"/>
            </w:r>
            <w:r>
              <w:rPr>
                <w:rStyle w:val="1008"/>
                <w:b w:val="0"/>
                <w:bCs w:val="0"/>
                <w:color w:val="000000"/>
                <w:highlight w:val="none"/>
                <w:lang w:bidi="ar"/>
              </w:rPr>
              <w:t xml:space="preserve">结合通用箱，可完成的实验：</w:t>
            </w:r>
            <w:r>
              <w:rPr>
                <w:rStyle w:val="1007"/>
                <w:b w:val="0"/>
                <w:bCs w:val="0"/>
                <w:color w:val="000000"/>
                <w:highlight w:val="none"/>
                <w:lang w:bidi="ar"/>
              </w:rPr>
              <w:t xml:space="preserve">1.模拟生物体维持pH的稳定；2.探索植物生长调节剂的应用；3.调查草地中某种双子叶植物的种群密度；4.培养液中酵母菌种群数量的变化；5.探究土壤中动物类群的丰富度；6.探究土壤微生物的分解作用。</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127</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高中生物组合实验箱（生物技术与工程）</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实验箱规格：≥</w:t>
            </w:r>
            <w:r>
              <w:rPr>
                <w:rStyle w:val="1007"/>
                <w:b w:val="0"/>
                <w:bCs w:val="0"/>
                <w:color w:val="000000"/>
                <w:highlight w:val="none"/>
                <w:lang w:bidi="ar"/>
              </w:rPr>
              <w:t xml:space="preserve">571×355×171mm，实验箱四周圆角处理，圆角R90mm，带有卡扣，可以卡住箱盖，实验箱可多个叠加组合摆放，并且有定位箱体之间不会滑落，每个实验器材有相对应插槽，实验箱配有器件清单，根据清单编号取拿器材；材料环保无毒无味，实验箱最大承重不小于 50 公斤，且满足 8 个以上箱体的承压叠放。</w:t>
            </w:r>
            <w:r>
              <w:rPr>
                <w:rStyle w:val="1007"/>
                <w:b w:val="0"/>
                <w:bCs w:val="0"/>
                <w:color w:val="000000"/>
                <w:highlight w:val="none"/>
                <w:lang w:bidi="ar"/>
              </w:rPr>
              <w:br w:type="textWrapping" w:clear="all"/>
            </w:r>
            <w:r>
              <w:rPr>
                <w:rStyle w:val="1008"/>
                <w:b w:val="0"/>
                <w:bCs w:val="0"/>
                <w:color w:val="000000"/>
                <w:highlight w:val="none"/>
                <w:lang w:bidi="ar"/>
              </w:rPr>
              <w:t xml:space="preserve">实验箱特点：</w:t>
            </w:r>
            <w:r>
              <w:rPr>
                <w:rStyle w:val="1007"/>
                <w:b w:val="0"/>
                <w:bCs w:val="0"/>
                <w:color w:val="000000"/>
                <w:highlight w:val="none"/>
                <w:lang w:bidi="ar"/>
              </w:rPr>
              <w:t xml:space="preserve">完整的设备组合：简单的实验操作;采用标准模块化设计组合实验的方式，可以有效提高学生的实际动手能力，方便用户快速完成实验的创新设计；为老师和学生提供详细的实验参考资料，提高老师的课堂教学效率，缩短实验准备时间。</w:t>
            </w:r>
            <w:r>
              <w:rPr>
                <w:rStyle w:val="1007"/>
                <w:b w:val="0"/>
                <w:bCs w:val="0"/>
                <w:color w:val="000000"/>
                <w:highlight w:val="none"/>
                <w:lang w:bidi="ar"/>
              </w:rPr>
              <w:br w:type="textWrapping" w:clear="all"/>
            </w:r>
            <w:r>
              <w:rPr>
                <w:rStyle w:val="1008"/>
                <w:b w:val="0"/>
                <w:bCs w:val="0"/>
                <w:color w:val="000000"/>
                <w:highlight w:val="none"/>
                <w:lang w:bidi="ar"/>
              </w:rPr>
              <w:t xml:space="preserve">器件配置：</w:t>
            </w:r>
            <w:r>
              <w:rPr>
                <w:rStyle w:val="1007"/>
                <w:b w:val="0"/>
                <w:bCs w:val="0"/>
                <w:color w:val="000000"/>
                <w:highlight w:val="none"/>
                <w:lang w:bidi="ar"/>
              </w:rPr>
              <w:t xml:space="preserve">量筒（100mL）1个、试管（φ12mm×70mm）6支、</w:t>
            </w:r>
            <w:r>
              <w:rPr>
                <w:rStyle w:val="1007"/>
                <w:b w:val="0"/>
                <w:bCs w:val="0"/>
                <w:color w:val="000000"/>
                <w:highlight w:val="none"/>
                <w:lang w:bidi="ar"/>
              </w:rPr>
              <w:t xml:space="preserve">试管（φ15mm×150mm）6支、烧杯（250mL）1个、烧杯（500mL）1个、锥形瓶（50mL）4个、锥形瓶（250mL）2个、培养皿（90mm）2个、玻璃漏斗（90mm）1 个、玻璃棒（200mm）1根、研钵（附研杵）1套、研磨过滤器（20mL）1个、计数器（手持式）1个、血细胞计数板1个、镊子（140mm，带齿直尖头）1把、小刀（白瓷刀）1把、单面刀片1盒、接种环1个、比色管6个、封口膜（10cm×38m）1卷、橡皮筋1包、纱布1卷、棉塞1包、牛皮纸1包、滤纸1盒、标签纸1本、消毒用酒精棉球1包。</w:t>
            </w:r>
            <w:r>
              <w:rPr>
                <w:rStyle w:val="1007"/>
                <w:b w:val="0"/>
                <w:bCs w:val="0"/>
                <w:color w:val="000000"/>
                <w:highlight w:val="none"/>
                <w:lang w:bidi="ar"/>
              </w:rPr>
              <w:br w:type="textWrapping" w:clear="all"/>
            </w:r>
            <w:r>
              <w:rPr>
                <w:rStyle w:val="1008"/>
                <w:b w:val="0"/>
                <w:bCs w:val="0"/>
                <w:color w:val="000000"/>
                <w:highlight w:val="none"/>
                <w:lang w:bidi="ar"/>
              </w:rPr>
              <w:t xml:space="preserve">结合通用箱，可完成的实验：</w:t>
            </w:r>
            <w:r>
              <w:rPr>
                <w:rStyle w:val="1007"/>
                <w:b w:val="0"/>
                <w:bCs w:val="0"/>
                <w:color w:val="000000"/>
                <w:highlight w:val="none"/>
                <w:lang w:bidi="ar"/>
              </w:rPr>
              <w:t xml:space="preserve">1.制作传统发酵食品；2.酵母菌的纯培养；3.土壤中分解尿素的细菌的分离与计数；4.菊花的组织培养；5.DNA的粗提取与鉴定；6.DNA片段的扩增及电泳鉴定。</w:t>
            </w:r>
            <w:r>
              <w:rPr>
                <w:b w:val="0"/>
                <w:bCs w:val="0"/>
              </w:rPr>
            </w:r>
            <w:r/>
          </w:p>
        </w:tc>
      </w:tr>
      <w:tr>
        <w:trPr>
          <w:trHeight w:val="1820"/>
        </w:trPr>
        <w:tc>
          <w:tcPr>
            <w:tcBorders>
              <w:top w:val="single" w:color="000000" w:sz="4" w:space="0"/>
              <w:left w:val="single" w:color="000000" w:sz="4" w:space="0"/>
              <w:bottom w:val="single" w:color="000000" w:sz="4" w:space="0"/>
              <w:right w:val="single" w:color="000000" w:sz="4" w:space="0"/>
            </w:tcBorders>
            <w:tcW w:w="612" w:type="dxa"/>
            <w:vAlign w:val="center"/>
            <w:textDirection w:val="lrTb"/>
            <w:noWrap w:val="false"/>
          </w:tcPr>
          <w:p>
            <w:pPr>
              <w:pStyle w:val="881"/>
              <w:jc w:val="center"/>
              <w:spacing w:line="264"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128</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881"/>
              <w:jc w:val="center"/>
              <w:spacing w:line="264" w:lineRule="auto"/>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智能生物显微镜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8142" w:type="dxa"/>
            <w:vAlign w:val="center"/>
            <w:textDirection w:val="lrTb"/>
            <w:noWrap w:val="false"/>
          </w:tcPr>
          <w:p>
            <w:pPr>
              <w:pStyle w:val="881"/>
              <w:jc w:val="left"/>
              <w:spacing w:line="264" w:lineRule="auto"/>
              <w:rPr>
                <w:rFonts w:hint="eastAsia" w:ascii="宋体" w:hAnsi="宋体" w:cs="宋体"/>
                <w:b w:val="0"/>
                <w:bCs w:val="0"/>
                <w:color w:val="000000"/>
                <w:sz w:val="20"/>
                <w:szCs w:val="20"/>
                <w:highlight w:val="none"/>
              </w:rPr>
            </w:pPr>
            <w:r>
              <w:rPr>
                <w:rFonts w:hint="eastAsia" w:ascii="宋体" w:hAnsi="宋体" w:cs="宋体"/>
                <w:b w:val="0"/>
                <w:bCs w:val="0"/>
                <w:color w:val="000000"/>
                <w:sz w:val="20"/>
                <w:szCs w:val="20"/>
                <w:highlight w:val="none"/>
                <w:lang w:bidi="ar"/>
              </w:rPr>
              <w:t xml:space="preserve">器件配置：</w:t>
            </w:r>
            <w:r>
              <w:rPr>
                <w:rStyle w:val="1007"/>
                <w:b w:val="0"/>
                <w:bCs w:val="0"/>
                <w:color w:val="000000"/>
                <w:highlight w:val="none"/>
                <w:lang w:bidi="ar"/>
              </w:rPr>
              <w:t xml:space="preserve">智能生物显微镜（单目广视场目镜：10×/φ18；消色差物镜：4×、10×、40×；LED光源，亮度连续可调；双层移动式载物台；图像参数：200万，1080P/25fps；显示：2.8英寸，可显示状态和操作错误；具备教学模式和考核模式双功能，支持物镜选择操作规范性自动检测，支持焦距调节操作规范性自动检测，支持显微镜取用操作规范性自动检测，支持教师端与学生显微画面视频互动，支持学生操作过程显微画面同步记录，支持操作过程数据的自动上，支持AI智能赋分接口，完成对显微镜实验的自动评价）1台。 </w:t>
            </w:r>
            <w:r>
              <w:rPr>
                <w:b w:val="0"/>
                <w:bCs w:val="0"/>
              </w:rPr>
            </w:r>
            <w:r/>
          </w:p>
        </w:tc>
      </w:tr>
    </w:tbl>
    <w:p>
      <w:pPr>
        <w:pStyle w:val="881"/>
        <w:spacing w:line="264" w:lineRule="auto"/>
        <w:rPr>
          <w:rFonts w:hint="eastAsia" w:ascii="宋体" w:hAnsi="宋体"/>
          <w:color w:val="000000"/>
          <w:sz w:val="24"/>
          <w:highlight w:val="none"/>
        </w:rPr>
      </w:pPr>
      <w:r>
        <w:rPr>
          <w:rFonts w:hint="eastAsia" w:ascii="宋体" w:hAnsi="宋体"/>
          <w:color w:val="000000"/>
          <w:sz w:val="24"/>
          <w:highlight w:val="none"/>
        </w:rPr>
      </w:r>
      <w:r/>
    </w:p>
    <w:p>
      <w:pPr>
        <w:pStyle w:val="881"/>
        <w:ind w:firstLine="480"/>
        <w:spacing w:line="264" w:lineRule="auto"/>
        <w:rPr>
          <w:rFonts w:hint="eastAsia" w:ascii="宋体" w:hAnsi="宋体" w:cs="宋体"/>
          <w:bCs/>
          <w:color w:val="000000"/>
          <w:sz w:val="24"/>
          <w:szCs w:val="24"/>
          <w:highlight w:val="none"/>
        </w:rPr>
        <w:outlineLvl w:val="2"/>
      </w:pPr>
      <w:r>
        <w:rPr>
          <w:rFonts w:hint="eastAsia" w:ascii="宋体" w:hAnsi="宋体"/>
          <w:color w:val="000000"/>
          <w:sz w:val="24"/>
          <w:highlight w:val="none"/>
        </w:rPr>
        <w:t xml:space="preserve">★</w:t>
      </w:r>
      <w:r>
        <w:rPr>
          <w:rFonts w:hint="eastAsia" w:ascii="宋体" w:hAnsi="宋体" w:cs="宋体"/>
          <w:bCs/>
          <w:color w:val="000000"/>
          <w:sz w:val="24"/>
          <w:szCs w:val="24"/>
          <w:highlight w:val="none"/>
        </w:rPr>
        <w:t xml:space="preserve">（二）商务要求</w:t>
      </w:r>
      <w:r>
        <w:rPr>
          <w:rFonts w:hint="eastAsia" w:ascii="宋体" w:hAnsi="宋体" w:cs="宋体"/>
          <w:bCs/>
          <w:color w:val="000000"/>
          <w:sz w:val="24"/>
          <w:szCs w:val="24"/>
          <w:highlight w:val="none"/>
        </w:rPr>
      </w:r>
      <w:r/>
    </w:p>
    <w:p>
      <w:pPr>
        <w:pStyle w:val="881"/>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报价要求</w:t>
      </w:r>
      <w:r>
        <w:rPr>
          <w:rFonts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（2）供应商的任何错漏、优惠、竞争性报价不得作为减轻责任、减少服务、增加收费、降低服务质量的理由。</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2.实施要求</w:t>
      </w:r>
      <w:r>
        <w:rPr>
          <w:rFonts w:hint="eastAsia" w:ascii="宋体" w:hAnsi="宋体" w:cs="宋体"/>
          <w:color w:val="000000"/>
          <w:sz w:val="24"/>
          <w:szCs w:val="24"/>
          <w:highlight w:val="none"/>
        </w:rPr>
      </w:r>
      <w:r/>
    </w:p>
    <w:p>
      <w:pPr>
        <w:pStyle w:val="881"/>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（1）人员要求</w:t>
      </w:r>
      <w:r>
        <w:rPr>
          <w:rFonts w:hint="eastAsia" w:ascii="宋体" w:hAnsi="宋体" w:eastAsia="宋体" w:cs="宋体"/>
          <w:color w:val="000000"/>
          <w:sz w:val="24"/>
          <w:szCs w:val="24"/>
          <w:highlight w:val="none"/>
        </w:rPr>
      </w:r>
      <w:r/>
    </w:p>
    <w:p>
      <w:pPr>
        <w:pStyle w:val="893"/>
        <w:ind w:firstLine="480"/>
        <w:rPr>
          <w:rFonts w:hint="eastAsia"/>
          <w:color w:val="000000"/>
          <w:highlight w:val="none"/>
        </w:rPr>
      </w:pPr>
      <w:r>
        <w:rPr>
          <w:rFonts w:hint="eastAsia" w:cs="宋体"/>
          <w:color w:val="000000"/>
          <w:sz w:val="24"/>
          <w:szCs w:val="24"/>
          <w:highlight w:val="none"/>
          <w:lang w:val="en-US" w:eastAsia="zh-CN"/>
        </w:rPr>
        <w:t xml:space="preserve">本项目要求安装调试实施团队不少于4人，其中项目团队负责人1人。</w:t>
      </w:r>
      <w:r>
        <w:rPr>
          <w:rFonts w:hint="eastAsia"/>
          <w:color w:val="000000"/>
          <w:highlight w:val="none"/>
        </w:rPr>
      </w:r>
      <w:r/>
    </w:p>
    <w:p>
      <w:pPr>
        <w:pStyle w:val="881"/>
        <w:ind w:firstLine="480"/>
        <w:spacing w:line="264"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质保（维保）及售后要求</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①本项目质保期三年，费用包在投标总价中（自验收报告签字确认日起，开始进入质保期）；</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②本项目所投产品使用软件授权终身使用及升级，费用包含在投标总价中。</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③供应商接到报修请求，2小时内响应，8小时内维修人员到达现场，质保期内故障报修24小时内无法及时修复的须提供备机。</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④供应商在质保期内每学期结束前为学校进行整体维护一次，费用包含在投标总价中；</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⑤</w:t>
      </w:r>
      <w:r>
        <w:rPr>
          <w:rFonts w:hint="eastAsia" w:ascii="宋体" w:hAnsi="宋体" w:cs="宋体"/>
          <w:color w:val="000000"/>
          <w:sz w:val="24"/>
          <w:szCs w:val="24"/>
          <w:highlight w:val="none"/>
          <w:lang w:val="zh-CN"/>
        </w:rPr>
        <w:t xml:space="preserve">质保期后，供应商提供终</w:t>
      </w:r>
      <w:r>
        <w:rPr>
          <w:rFonts w:hint="eastAsia" w:ascii="宋体" w:hAnsi="宋体" w:cs="宋体"/>
          <w:color w:val="000000"/>
          <w:sz w:val="24"/>
          <w:szCs w:val="24"/>
          <w:highlight w:val="none"/>
        </w:rPr>
        <w:t xml:space="preserve">身</w:t>
      </w:r>
      <w:r>
        <w:rPr>
          <w:rFonts w:hint="eastAsia" w:ascii="宋体" w:hAnsi="宋体" w:cs="宋体"/>
          <w:color w:val="000000"/>
          <w:sz w:val="24"/>
          <w:szCs w:val="24"/>
          <w:highlight w:val="none"/>
          <w:lang w:val="zh-CN"/>
        </w:rPr>
        <w:t xml:space="preserve">服务，保证零配件的供给。</w:t>
      </w:r>
      <w:r>
        <w:rPr>
          <w:rFonts w:hint="eastAsia" w:ascii="宋体" w:hAnsi="宋体" w:cs="宋体"/>
          <w:color w:val="000000"/>
          <w:sz w:val="24"/>
          <w:szCs w:val="24"/>
          <w:highlight w:val="none"/>
          <w:lang w:val="zh-CN"/>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（3）验收要求</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所供货物必须是全新的，原装正品行货，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②供应商完成竣工文档整理方可申请验收，供应商应按相关政府职能部门要求的标准编制竣工验收资料，确保通过相关政府职能部门验收，并将竣工验收资料送城建档案馆存档。</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③验收的相关数据及中标产品信息，供应商应及时填入网络管理平台。</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④验收合格后，中标数据将在网络管理平台生成的设备二维识别码，供应商负责打印二维码不干胶标贴并将其贴在产品的指定位置；完成设备识别码粘贴是验收的重要环节，未完成验收不予通过。</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（4）技术培训要求：</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①供应商对使用单位采购设备的使用和维护提供培训，培训的内容包括设备和软件的安装、使用以及软硬件基本维护知识。</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②供应商签订合同时制定全面培训计划，要求分为使用培训、教学应用培训，方案中需提供具体培训安排、内容、讲义、考核计划等。</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③供应商须提供培训讲义，培训学校管理人员不少于2人。</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（5）平台监管要求：</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①供应商须接受“南京市教育装备项目管理平台”的信息化过程管理，在“南京市教育装备云服务平台”中公开投标文件、合同与合同清单，接受南京市教育、财政、审计等行政部门的网络在线监督。</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②供应商须在履约过程中，严格按照“南京市教育装备项目管理平台”的技术与管理规范，在规定的时间节点，提供相应的合同履约资料，包括照片。</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③供应商在合同履约过程中，必须通过“南京市教育装备项目管理平台”申请验收，验收不合格即记录在平台中，整改后验收仍不合格的，采购人有权依据法律追究合同责任方的责任。</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④供应商须对所有进入固定资产的设备，按南京市的统一要求，通过“南京市教育装备项目管理平台”（南京市教育装备项目管理平台网址Http://nj.cneefix.com）制作二维码标签，并张贴到设备上。</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⑤供应商须通过“南京市教育装备项目管理平台”提供售后维护维保服务。</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（6）安全要求：</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须按照《中华人民共和国劳动法》规范用工，并加强人员安全教育，加强实施现场安全保护，杜绝安全事故发生。如实施过程中发生安全事故，供应商须承担一切责任，采购人及使用学校免责，如对学校的场地、设备造成损坏或对人员造成伤害，须承担一切责任，并进行相应赔偿。</w:t>
      </w:r>
      <w:r>
        <w:rPr>
          <w:rFonts w:hint="eastAsia" w:ascii="宋体" w:hAnsi="宋体" w:cs="宋体"/>
          <w:color w:val="000000"/>
          <w:sz w:val="24"/>
          <w:szCs w:val="24"/>
          <w:highlight w:val="none"/>
        </w:rPr>
      </w:r>
      <w:r/>
    </w:p>
    <w:p>
      <w:pPr>
        <w:pStyle w:val="881"/>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ascii="宋体" w:hAnsi="宋体" w:cs="宋体"/>
          <w:bCs/>
          <w:color w:val="000000"/>
          <w:sz w:val="24"/>
          <w:szCs w:val="24"/>
          <w:highlight w:val="none"/>
        </w:rPr>
        <w:t xml:space="preserve">付款条件</w:t>
      </w:r>
      <w:r>
        <w:rPr>
          <w:rFonts w:ascii="宋体" w:hAnsi="宋体" w:cs="宋体"/>
          <w:bCs/>
          <w:color w:val="000000"/>
          <w:sz w:val="24"/>
          <w:szCs w:val="24"/>
          <w:highlight w:val="none"/>
        </w:rPr>
      </w:r>
      <w:r/>
    </w:p>
    <w:p>
      <w:pPr>
        <w:pStyle w:val="88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881"/>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rPr>
          <w:rFonts w:ascii="宋体" w:hAnsi="宋体" w:cs="宋体"/>
          <w:color w:val="000000"/>
          <w:sz w:val="24"/>
          <w:szCs w:val="24"/>
          <w:highlight w:val="none"/>
        </w:rPr>
      </w:r>
      <w:r/>
    </w:p>
    <w:p>
      <w:pPr>
        <w:pStyle w:val="881"/>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（1）交付时间：合同签订后</w:t>
      </w:r>
      <w:r>
        <w:rPr>
          <w:rFonts w:hint="eastAsia" w:ascii="宋体" w:hAnsi="宋体" w:cs="宋体"/>
          <w:bCs/>
          <w:color w:val="000000"/>
          <w:sz w:val="24"/>
          <w:szCs w:val="24"/>
          <w:highlight w:val="none"/>
        </w:rPr>
        <w:t xml:space="preserve">90</w:t>
      </w:r>
      <w:r>
        <w:rPr>
          <w:rFonts w:ascii="宋体" w:hAnsi="宋体" w:cs="宋体"/>
          <w:color w:val="000000"/>
          <w:sz w:val="24"/>
          <w:szCs w:val="24"/>
          <w:highlight w:val="none"/>
        </w:rPr>
        <w:t xml:space="preserve">天内交付并完成安装调试及验收等相关工作</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（2）交付地点：采购人指定地点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5.履约保证金</w:t>
      </w:r>
      <w:r>
        <w:rPr>
          <w:rFonts w:hint="eastAsia" w:ascii="宋体" w:hAnsi="宋体" w:cs="宋体"/>
          <w:color w:val="000000"/>
          <w:sz w:val="24"/>
          <w:szCs w:val="24"/>
          <w:highlight w:val="none"/>
        </w:rPr>
      </w:r>
      <w:r/>
    </w:p>
    <w:p>
      <w:pPr>
        <w:pStyle w:val="881"/>
        <w:ind w:firstLine="480"/>
        <w:spacing w:line="264" w:lineRule="auto"/>
        <w:rPr>
          <w:rFonts w:hint="eastAsia"/>
          <w:color w:val="000000"/>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hint="eastAsia"/>
          <w:color w:val="000000"/>
          <w:highlight w:val="none"/>
        </w:rPr>
      </w:r>
      <w:r/>
    </w:p>
    <w:p>
      <w:pPr>
        <w:pStyle w:val="881"/>
        <w:ind w:firstLine="480"/>
        <w:spacing w:line="264" w:lineRule="auto"/>
        <w:rPr>
          <w:rFonts w:hint="eastAsia" w:ascii="宋体" w:hAnsi="宋体" w:cs="宋体"/>
          <w:bCs/>
          <w:color w:val="000000"/>
          <w:sz w:val="24"/>
          <w:szCs w:val="24"/>
          <w:highlight w:val="none"/>
        </w:rPr>
      </w:pPr>
      <w:r/>
      <w:bookmarkStart w:id="195" w:name="OLE_LINK1"/>
      <w:r>
        <w:rPr>
          <w:rFonts w:hint="eastAsia" w:ascii="宋体" w:hAnsi="宋体" w:cs="宋体"/>
          <w:bCs/>
          <w:color w:val="000000"/>
          <w:sz w:val="24"/>
          <w:szCs w:val="24"/>
          <w:highlight w:val="none"/>
        </w:rPr>
        <w:t xml:space="preserve">6.其他要求</w:t>
      </w:r>
      <w:r>
        <w:rPr>
          <w:rFonts w:hint="eastAsia" w:ascii="宋体" w:hAnsi="宋体" w:cs="宋体"/>
          <w:bCs/>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bookmarkEnd w:id="195"/>
      <w:r>
        <w:rPr>
          <w:rFonts w:hint="eastAsia" w:ascii="宋体" w:hAnsi="宋体" w:cs="宋体"/>
          <w:color w:val="000000"/>
          <w:sz w:val="24"/>
          <w:szCs w:val="24"/>
          <w:highlight w:val="none"/>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1"/>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（三）样品要求</w:t>
      </w:r>
      <w:r>
        <w:rPr>
          <w:rFonts w:hint="eastAsia" w:ascii="宋体" w:hAnsi="宋体" w:cs="宋体"/>
          <w:bCs/>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1.供应商提供以下样品各一件（制作标准和要求与本次采购项目一致）：</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（1）供应商提供所投“</w:t>
      </w:r>
      <w:r>
        <w:rPr>
          <w:rFonts w:hint="eastAsia" w:ascii="宋体" w:hAnsi="宋体" w:eastAsia="宋体" w:cs="宋体"/>
          <w:color w:val="000000"/>
          <w:sz w:val="24"/>
          <w:szCs w:val="24"/>
          <w:highlight w:val="none"/>
          <w:lang w:eastAsia="zh-CN"/>
        </w:rPr>
        <w:t xml:space="preserve">高中物理</w:t>
      </w:r>
      <w:r>
        <w:rPr>
          <w:rFonts w:hint="eastAsia" w:ascii="宋体" w:hAnsi="宋体" w:eastAsia="宋体" w:cs="宋体"/>
          <w:color w:val="000000"/>
          <w:sz w:val="24"/>
          <w:szCs w:val="24"/>
          <w:highlight w:val="none"/>
          <w:lang w:bidi="ar"/>
        </w:rPr>
        <w:t xml:space="preserve">近代物理演示仪器</w:t>
      </w:r>
      <w:r>
        <w:rPr>
          <w:rFonts w:hint="eastAsia" w:ascii="宋体" w:hAnsi="宋体" w:cs="宋体"/>
          <w:color w:val="000000"/>
          <w:sz w:val="24"/>
          <w:szCs w:val="24"/>
          <w:highlight w:val="none"/>
        </w:rPr>
        <w:t xml:space="preserve">”（“序号1</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（2）“智能生物显微镜”（“序号128”）</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2.样品提交地点：南京市江东中路265号南京市公共资源交易中心北门（牡丹江街）。</w:t>
      </w:r>
      <w:r>
        <w:rPr>
          <w:rFonts w:hint="eastAsia" w:ascii="宋体" w:hAnsi="宋体" w:cs="宋体"/>
          <w:color w:val="000000"/>
          <w:sz w:val="24"/>
          <w:szCs w:val="24"/>
          <w:highlight w:val="none"/>
          <w:lang w:val="zh-CN"/>
        </w:rPr>
      </w:r>
      <w:r/>
    </w:p>
    <w:p>
      <w:pPr>
        <w:pStyle w:val="881"/>
        <w:ind w:firstLine="480"/>
        <w:jc w:val="left"/>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3.样品提交时间：投标截止时间前半小时开始接收，投标截止时间后不再接受。</w:t>
      </w:r>
      <w:r>
        <w:rPr>
          <w:rFonts w:hint="eastAsia" w:ascii="宋体" w:hAnsi="宋体" w:cs="宋体"/>
          <w:color w:val="000000"/>
          <w:sz w:val="24"/>
          <w:szCs w:val="24"/>
          <w:highlight w:val="none"/>
        </w:rPr>
      </w:r>
      <w:r/>
    </w:p>
    <w:p>
      <w:pPr>
        <w:pStyle w:val="881"/>
        <w:ind w:firstLine="480"/>
        <w:jc w:val="left"/>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4.其他说明</w:t>
      </w:r>
      <w:r>
        <w:rPr>
          <w:rFonts w:hint="eastAsia" w:ascii="宋体" w:hAnsi="宋体" w:cs="宋体"/>
          <w:color w:val="000000"/>
          <w:sz w:val="24"/>
          <w:szCs w:val="24"/>
          <w:highlight w:val="none"/>
        </w:rPr>
      </w:r>
      <w:r/>
    </w:p>
    <w:p>
      <w:pPr>
        <w:pStyle w:val="881"/>
        <w:ind w:firstLine="480"/>
        <w:jc w:val="left"/>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（1）样品上如有和供应商名称有关的信息，应提前覆盖或处理，未在规定地点及截止时间前按要求提交的样品将被拒收，样品评审不得分。</w:t>
      </w:r>
      <w:r>
        <w:rPr>
          <w:rFonts w:hint="eastAsia" w:ascii="宋体" w:hAnsi="宋体" w:cs="宋体"/>
          <w:color w:val="000000"/>
          <w:sz w:val="24"/>
          <w:szCs w:val="24"/>
          <w:highlight w:val="none"/>
        </w:rPr>
      </w:r>
      <w:r/>
    </w:p>
    <w:p>
      <w:pPr>
        <w:pStyle w:val="881"/>
        <w:ind w:firstLine="480"/>
        <w:jc w:val="left"/>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（2）样品的所有费用由供应商承担，评标结束后，供应商应最迟于次日取回，否则按废品处理，后果自负。中标供应商的样品由采购人封存、保管，作为履约验收的参考。</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（3）样品尺寸正负偏离不超过</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0m</w:t>
      </w:r>
      <w:r>
        <w:rPr>
          <w:rFonts w:ascii="宋体" w:hAnsi="宋体" w:cs="宋体"/>
          <w:color w:val="000000"/>
          <w:sz w:val="24"/>
          <w:szCs w:val="24"/>
          <w:highlight w:val="none"/>
        </w:rPr>
        <w:t xml:space="preserve">m</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w:t>
      </w:r>
      <w:r>
        <w:rPr>
          <w:rFonts w:hint="eastAsia" w:ascii="宋体" w:hAnsi="宋体" w:cs="宋体"/>
          <w:color w:val="000000"/>
          <w:sz w:val="24"/>
          <w:szCs w:val="24"/>
          <w:highlight w:val="none"/>
          <w:lang w:val="en-US" w:eastAsia="zh-CN"/>
        </w:rPr>
        <w:t xml:space="preserve">视频</w:t>
      </w:r>
      <w:r>
        <w:rPr>
          <w:rFonts w:hint="eastAsia" w:ascii="宋体" w:hAnsi="宋体" w:cs="宋体"/>
          <w:color w:val="000000"/>
          <w:sz w:val="24"/>
          <w:szCs w:val="24"/>
          <w:highlight w:val="none"/>
        </w:rPr>
        <w:t xml:space="preserve">演示要求</w:t>
      </w:r>
      <w:r>
        <w:rPr>
          <w:rFonts w:hint="eastAsia" w:ascii="宋体" w:hAnsi="宋体" w:cs="宋体"/>
          <w:color w:val="000000"/>
          <w:sz w:val="24"/>
          <w:szCs w:val="24"/>
          <w:highlight w:val="none"/>
        </w:rPr>
      </w:r>
      <w:r/>
    </w:p>
    <w:p>
      <w:pPr>
        <w:pStyle w:val="881"/>
        <w:ind w:firstLine="480"/>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1.视频文件的格式为*.mp4或*.avi，供应商须将视频文件压缩为*.zip文件上传（</w:t>
      </w:r>
      <w:r>
        <w:rPr>
          <w:rFonts w:hint="eastAsia" w:ascii="宋体" w:hAnsi="宋体"/>
          <w:color w:val="000000"/>
          <w:sz w:val="24"/>
          <w:szCs w:val="24"/>
          <w:highlight w:val="none"/>
        </w:rPr>
        <w:t xml:space="preserve">单个文件不得大于50M，大于50M的需分段压缩，所有文件合计不得大于300M</w:t>
      </w:r>
      <w:r>
        <w:rPr>
          <w:rFonts w:hint="eastAsia" w:ascii="宋体" w:hAnsi="宋体" w:cs="宋体"/>
          <w:color w:val="000000"/>
          <w:sz w:val="24"/>
          <w:szCs w:val="24"/>
          <w:highlight w:val="none"/>
        </w:rPr>
        <w:t xml:space="preserve">）。文件上传方式见《操作手册》，上传的演示视频将作为投标文件的组成部分。视频时长总计不超过15分钟。</w:t>
      </w:r>
      <w:r>
        <w:rPr>
          <w:rFonts w:hint="eastAsia" w:ascii="宋体" w:hAnsi="宋体" w:cs="宋体"/>
          <w:color w:val="000000"/>
          <w:sz w:val="24"/>
          <w:szCs w:val="24"/>
          <w:highlight w:val="none"/>
        </w:rPr>
      </w:r>
      <w:r/>
    </w:p>
    <w:p>
      <w:pPr>
        <w:pStyle w:val="881"/>
        <w:ind w:firstLine="480"/>
        <w:spacing w:line="288"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2.演示内容详见“第五章  评标方法与评标标准”。</w:t>
      </w:r>
      <w:r>
        <w:rPr>
          <w:rFonts w:hint="eastAsia" w:ascii="宋体" w:hAnsi="宋体"/>
          <w:color w:val="000000"/>
          <w:sz w:val="24"/>
          <w:szCs w:val="24"/>
          <w:highlight w:val="none"/>
        </w:rPr>
      </w:r>
      <w:r/>
    </w:p>
    <w:p>
      <w:pPr>
        <w:pStyle w:val="959"/>
        <w:rPr>
          <w:rFonts w:hint="eastAsia"/>
          <w:color w:val="000000"/>
          <w:highlight w:val="none"/>
        </w:rPr>
      </w:pPr>
      <w:r>
        <w:rPr>
          <w:rFonts w:hint="eastAsia"/>
          <w:color w:val="000000"/>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outlineLvl w:val="0"/>
      </w:pPr>
      <w:r/>
      <w:bookmarkStart w:id="196" w:name="_Toc120614281"/>
      <w:r>
        <w:rPr>
          <w:rFonts w:hint="eastAsia" w:ascii="方正小标宋简体" w:hAnsi="方正小标宋简体" w:eastAsia="方正小标宋简体" w:cs="方正小标宋简体"/>
          <w:color w:val="000000"/>
          <w:sz w:val="36"/>
          <w:szCs w:val="36"/>
          <w:highlight w:val="none"/>
        </w:rPr>
      </w:r>
      <w:r/>
    </w:p>
    <w:p>
      <w:pPr>
        <w:pStyle w:val="881"/>
        <w:ind w:firstLine="482"/>
        <w:spacing w:line="264"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附件1：图纸</w:t>
      </w:r>
      <w:r>
        <w:rPr>
          <w:rFonts w:hint="eastAsia" w:ascii="宋体" w:hAnsi="宋体" w:cs="宋体"/>
          <w:b/>
          <w:bCs/>
          <w:color w:val="000000"/>
          <w:sz w:val="24"/>
          <w:szCs w:val="24"/>
          <w:highlight w:val="none"/>
          <w:lang w:bidi="ar"/>
        </w:rPr>
      </w:r>
      <w:r/>
    </w:p>
    <w:p>
      <w:pPr>
        <w:pStyle w:val="881"/>
        <w:ind w:firstLine="482"/>
        <w:spacing w:line="264" w:lineRule="auto"/>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详见采购公告附件。</w:t>
      </w:r>
      <w:r>
        <w:rPr>
          <w:rFonts w:ascii="宋体" w:hAnsi="宋体" w:eastAsia="宋体" w:cs="宋体"/>
          <w:b/>
          <w:bCs/>
          <w:color w:val="000000"/>
          <w:sz w:val="24"/>
          <w:szCs w:val="24"/>
          <w:highlight w:val="none"/>
          <w:lang w:val="en-US" w:eastAsia="zh-CN"/>
        </w:rPr>
      </w:r>
      <w:r/>
    </w:p>
    <w:p>
      <w:pPr>
        <w:pStyle w:val="881"/>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81"/>
        <w:ind w:firstLine="482"/>
        <w:spacing w:line="264" w:lineRule="auto"/>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附件2：各实验室配置清单</w:t>
      </w:r>
      <w:r>
        <w:rPr>
          <w:rFonts w:hint="eastAsia" w:ascii="宋体" w:hAnsi="宋体" w:cs="宋体"/>
          <w:b/>
          <w:bCs/>
          <w:color w:val="000000"/>
          <w:sz w:val="24"/>
          <w:szCs w:val="24"/>
          <w:highlight w:val="none"/>
          <w:lang w:bidi="ar"/>
        </w:rPr>
      </w:r>
      <w:r/>
    </w:p>
    <w:tbl>
      <w:tblPr>
        <w:tblW w:w="0" w:type="auto"/>
        <w:tblInd w:w="90" w:type="dxa"/>
        <w:tblLayout w:type="fixed"/>
        <w:tblCellMar>
          <w:left w:w="108" w:type="dxa"/>
          <w:top w:w="0" w:type="dxa"/>
          <w:right w:w="108" w:type="dxa"/>
          <w:bottom w:w="0" w:type="dxa"/>
        </w:tblCellMar>
        <w:tblLook w:val="04A0" w:firstRow="1" w:lastRow="0" w:firstColumn="1" w:lastColumn="0" w:noHBand="0" w:noVBand="1"/>
      </w:tblPr>
      <w:tblGrid>
        <w:gridCol w:w="881"/>
        <w:gridCol w:w="5541"/>
        <w:gridCol w:w="1404"/>
        <w:gridCol w:w="1743"/>
      </w:tblGrid>
      <w:tr>
        <w:trPr>
          <w:trHeight w:val="23"/>
        </w:trPr>
        <w:tc>
          <w:tcPr>
            <w:gridSpan w:val="4"/>
            <w:tcBorders>
              <w:top w:val="none" w:color="000000" w:sz="4" w:space="0"/>
              <w:left w:val="none" w:color="000000" w:sz="4" w:space="0"/>
              <w:bottom w:val="single" w:color="000000" w:sz="4" w:space="0"/>
              <w:right w:val="none" w:color="000000" w:sz="4" w:space="0"/>
            </w:tcBorders>
            <w:tcW w:w="9569"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8"/>
                <w:szCs w:val="28"/>
                <w:highlight w:val="none"/>
                <w:lang w:bidi="ar"/>
              </w:rPr>
              <w:t xml:space="preserve">南京市第29中学新校区实验室基础设备配置清单</w:t>
            </w:r>
            <w:r>
              <w:rPr>
                <w:rFonts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序号</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名称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数量</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单位</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实验楼三层</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bidi="ar"/>
              </w:rPr>
              <w:t xml:space="preserve">生物综合实验室设备配置【2间】</w:t>
            </w:r>
            <w:r>
              <w:rPr>
                <w:rFonts w:ascii="宋体" w:hAnsi="宋体" w:eastAsia="宋体" w:cs="宋体"/>
                <w:color w:val="000000"/>
                <w:sz w:val="20"/>
                <w:szCs w:val="20"/>
                <w:highlight w:val="none"/>
                <w:lang w:val="en-US" w:eastAsia="zh-CN"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教师主控电源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水槽(小）</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28</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30</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28</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56</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辅助光源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56</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112</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陈列柜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生物数码显微实验室设备配置【1间】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教师主控电源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水槽(小）</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辅助光源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生物技术实验室设备配置【1间】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教师主控电源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实验台（学生）5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实验台（边台）</w:t>
            </w: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边台电源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 </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 </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单面滴水架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 </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3D实验室软件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生物仪器准备室设备配置【1间】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副</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生物准备药品室设备配置【1间】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副</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易燃品存柜、防爆柜（报警装置）</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生物组培微生物实验室设备配置【1间】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电子天平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笔式酸度计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磁力搅拌器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水浴锅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PH计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超净工作台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接种器具灭菌器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智能光照培养箱</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光照培养架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炼苗架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果酒果醋发酵装置</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酿酒设备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探究实验耗材包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紫外灭菌车</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照度计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温湿度计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精油提取器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冰箱</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电磁炉</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组培苗</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瓶</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试剂盒</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教学管理软件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课程培训与服务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5</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把</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衣帽柜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传递窗</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净化板隔断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扇</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紫外灭菌系统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净化通风系统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实验室地面</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实验室水电</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净化吊顶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rPr>
                <w:color w:val="000000"/>
                <w:highlight w:val="none"/>
              </w:rPr>
            </w:pPr>
            <w:r>
              <w:rPr>
                <w:color w:val="000000"/>
                <w:highlight w:val="none"/>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生物实验员办公室设备配置【1间】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实验楼五层</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数字化实验室/物理竞赛与大学先修教室设备配置【1间】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教师主控电源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实验多目教学示范仪</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实验教学直播示范系统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实验台（边台）1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实验台（边台）3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边台电源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3D实验室软件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物理研习室设备配置【1间】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边台电源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矮柜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书柜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教师操作椅</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物理智慧云实验室建设方案【1间】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实验教学管理系统平台软件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交换机</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显示器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教师控制主机系统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视频多流云终端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视频流媒体服务平台</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Cs w:val="21"/>
                <w:highlight w:val="none"/>
                <w:lang w:bidi="ar"/>
              </w:rPr>
              <w:t xml:space="preserve">实验室水槽柜</w:t>
            </w:r>
            <w:r>
              <w:rPr>
                <w:rFonts w:ascii="宋体" w:hAnsi="宋体" w:eastAsia="宋体" w:cs="宋体"/>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实验柜（学生）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实验控制仪</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智能学生云终端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实验操作视频采集系统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实验室辅件及配套设备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16</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吊装系统控制面板及APP</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17</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吊装控制系统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18</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物理吊装式控制设备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19</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吊装智能摇臂控制系统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20</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吊装系统摇臂终端盒</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21</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吊装系统照明光源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22</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吊装系统照明线路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23</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吊装系统供电线路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24</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吊装系统网络线路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25</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吊装系统安装附件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26</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高中物理力学演示仪器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高中物理电学演示仪器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高中物理电磁学演示仪器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29</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高中物理近代物理演示仪器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30</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高中物理传感器演示仪器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31</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高中物理光学演示仪器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32</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高中物理热学演示仪器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33</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实验教学及考核管理系统云平台软件</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34</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视频同步及管理系统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35</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实验教学及考核数据服务器设备（校级管理端）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36</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校级调度及视频服务器设备（校级管理端）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37</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数据汇聚交换机</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38</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路由器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生化智慧云实验室建设方案【1间】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实验教学管理系统平台软件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交换机</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显示器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个</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教师控制主机系统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视频多流云终端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881380" cy="84391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81380" cy="843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0.0pt;mso-position-vertical:absolute;width:69.4pt;height:66.5pt;mso-wrap-distance-left:9.0pt;mso-wrap-distance-top:0.0pt;mso-wrap-distance-right:9.0pt;mso-wrap-distance-bottom:0.0pt;" stroked="f">
                      <v:path textboxrect="0,0,0,0"/>
                      <v:imagedata r:id="rId13" o:title=""/>
                    </v:shape>
                  </w:pict>
                </mc:Fallback>
              </mc:AlternateContent>
            </w:r>
            <w:r>
              <w:rPr>
                <w:rFonts w:hint="eastAsia" w:ascii="宋体" w:hAnsi="宋体" w:cs="宋体"/>
                <w:color w:val="000000"/>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881380" cy="84391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881380" cy="843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2;o:allowoverlap:true;o:allowincell:true;mso-position-horizontal-relative:text;margin-left:0.0pt;mso-position-horizontal:absolute;mso-position-vertical-relative:text;margin-top:0.0pt;mso-position-vertical:absolute;width:69.4pt;height:66.5pt;mso-wrap-distance-left:9.0pt;mso-wrap-distance-top:0.0pt;mso-wrap-distance-right:9.0pt;mso-wrap-distance-bottom:0.0pt;" stroked="f">
                      <v:path textboxrect="0,0,0,0"/>
                      <v:imagedata r:id="rId14" o:title=""/>
                    </v:shape>
                  </w:pict>
                </mc:Fallback>
              </mc:AlternateContent>
            </w:r>
            <w:r>
              <w:rPr>
                <w:rFonts w:hint="eastAsia" w:ascii="宋体" w:hAnsi="宋体" w:cs="宋体"/>
                <w:color w:val="000000"/>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881380" cy="84391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81380" cy="84391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3;o:allowoverlap:true;o:allowincell:true;mso-position-horizontal-relative:text;margin-left:0.0pt;mso-position-horizontal:absolute;mso-position-vertical-relative:text;margin-top:0.0pt;mso-position-vertical:absolute;width:69.4pt;height:66.5pt;mso-wrap-distance-left:9.0pt;mso-wrap-distance-top:0.0pt;mso-wrap-distance-right:9.0pt;mso-wrap-distance-bottom:0.0pt;" stroked="f">
                      <v:path textboxrect="0,0,0,0"/>
                      <v:imagedata r:id="rId15" o:title=""/>
                    </v:shape>
                  </w:pict>
                </mc:Fallback>
              </mc:AlternateContent>
            </w:r>
            <w:r>
              <w:rPr>
                <w:rFonts w:hint="eastAsia" w:ascii="宋体" w:hAnsi="宋体" w:cs="宋体"/>
                <w:color w:val="000000"/>
                <w:sz w:val="20"/>
                <w:szCs w:val="2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0</wp:posOffset>
                      </wp:positionV>
                      <wp:extent cx="881380" cy="84391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881380" cy="843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4;o:allowoverlap:true;o:allowincell:true;mso-position-horizontal-relative:text;margin-left:0.0pt;mso-position-horizontal:absolute;mso-position-vertical-relative:text;margin-top:0.0pt;mso-position-vertical:absolute;width:69.4pt;height:66.5pt;mso-wrap-distance-left:9.0pt;mso-wrap-distance-top:0.0pt;mso-wrap-distance-right:9.0pt;mso-wrap-distance-bottom:0.0pt;" stroked="f">
                      <v:path textboxrect="0,0,0,0"/>
                      <v:imagedata r:id="rId16" o:title=""/>
                    </v:shape>
                  </w:pict>
                </mc:Fallback>
              </mc:AlternateContent>
            </w: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视频集控服务</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教师演示台1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实验室水槽柜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台式洗眼器装置</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实验柜（学生）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实验控制仪</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智能学生云终端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实验操作视频采集系统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实验台（学生）</w:t>
            </w:r>
            <w:r>
              <w:rPr>
                <w:rFonts w:hint="eastAsia" w:ascii="宋体" w:hAnsi="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学生凳</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实验室水槽柜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17</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实验室辅件及配套设备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18</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吊装系统控制面板及APP</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19</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吊装控制系统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20</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化学吊装式控制设备</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21</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吊装智能摇臂控制系统</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22</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吊装系统摇臂终端盒</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23</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吊装系统照明光源</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24</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Cs w:val="21"/>
                <w:highlight w:val="none"/>
                <w:lang w:bidi="ar"/>
              </w:rPr>
              <w:t xml:space="preserve">吊装系统</w:t>
            </w:r>
            <w:r>
              <w:rPr>
                <w:rFonts w:hint="eastAsia" w:ascii="宋体" w:hAnsi="宋体" w:cs="宋体"/>
                <w:color w:val="000000"/>
                <w:sz w:val="20"/>
                <w:szCs w:val="20"/>
                <w:highlight w:val="none"/>
                <w:lang w:bidi="ar"/>
              </w:rPr>
              <w:t xml:space="preserve">照明线路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25</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吊装系统供电线路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26</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吊装系统网络线路</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27</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风机</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室内行程管道及配件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室</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29</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屋面风机对接部分</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30</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风管配套辅件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31</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万向吸风罩</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32</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吊装系统安装附件</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项</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33</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34</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35</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36</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37</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高中化学组合实验箱5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38</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高中化学配套实验仪器1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39</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高中化学配套实验仪器2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40</w:t>
            </w:r>
            <w:r>
              <w:rPr>
                <w:rFonts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高中生物组合实验箱（通用）</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高中生物组合实验箱（分子与细胞）</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高中生物组合实验箱（遗传与进化）</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高中生物组合实验箱（稳态与调节、生物与环境）</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高中生物组合实验箱（生物技术与工程）</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智能生物显微镜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生物模型标本室设备配置【1间】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准备台3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张</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水槽(中）</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套</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三联水嘴</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付</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试剂架</w:t>
            </w:r>
            <w:r>
              <w:rPr>
                <w:rFonts w:hint="eastAsia" w:ascii="宋体" w:hAnsi="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双面标本柜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生物器材室设备配置【1间】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r>
        <w:trPr>
          <w:trHeight w:val="340"/>
        </w:trPr>
        <w:tc>
          <w:tcPr>
            <w:gridSpan w:val="4"/>
            <w:tcBorders>
              <w:top w:val="single" w:color="000000" w:sz="4" w:space="0"/>
              <w:left w:val="single" w:color="000000" w:sz="4" w:space="0"/>
              <w:bottom w:val="single" w:color="000000" w:sz="4" w:space="0"/>
              <w:right w:val="single" w:color="000000" w:sz="4" w:space="0"/>
            </w:tcBorders>
            <w:tcW w:w="9569" w:type="dxa"/>
            <w:vAlign w:val="center"/>
            <w:textDirection w:val="lrTb"/>
            <w:noWrap w:val="false"/>
          </w:tcPr>
          <w:p>
            <w:pPr>
              <w:pStyle w:val="881"/>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化学器材室设备配置【1间】</w:t>
            </w:r>
            <w:r>
              <w:rPr>
                <w:rFonts w:hint="eastAsia" w:ascii="宋体" w:hAnsi="宋体" w:cs="宋体"/>
                <w:color w:val="000000"/>
                <w:sz w:val="20"/>
                <w:szCs w:val="20"/>
                <w:highlight w:val="none"/>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5541"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仪器柜</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43" w:type="dxa"/>
            <w:vAlign w:val="center"/>
            <w:textDirection w:val="lrTb"/>
            <w:noWrap/>
          </w:tcPr>
          <w:p>
            <w:pPr>
              <w:pStyle w:val="881"/>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组</w:t>
            </w:r>
            <w:r>
              <w:rPr>
                <w:rFonts w:hint="eastAsia" w:ascii="宋体" w:hAnsi="宋体" w:cs="宋体"/>
                <w:color w:val="000000"/>
                <w:sz w:val="20"/>
                <w:szCs w:val="20"/>
                <w:highlight w:val="none"/>
                <w:lang w:bidi="ar"/>
              </w:rPr>
            </w:r>
            <w:r/>
          </w:p>
        </w:tc>
      </w:tr>
    </w:tbl>
    <w:p>
      <w:pPr>
        <w:pStyle w:val="88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color w:val="000000"/>
          <w:highlight w:val="none"/>
        </w:rPr>
        <w:br w:type="page" w:clear="all"/>
      </w:r>
      <w:r>
        <w:rPr>
          <w:rFonts w:hint="eastAsia"/>
          <w:color w:val="000000"/>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8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88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rPr>
          <w:rFonts w:hint="eastAsia" w:ascii="黑体" w:hAnsi="黑体" w:eastAsia="黑体" w:cs="黑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1.采用综合评分法，评标结果按评审后得分由高到低顺序排列。得分相同的，按投标报价由低到高顺序排列。得分且投标报价相同的，按“三、评标标准中</w:t>
      </w:r>
      <w:r>
        <w:rPr>
          <w:rFonts w:hint="eastAsia" w:ascii="宋体" w:hAnsi="宋体"/>
          <w:color w:val="000000"/>
          <w:sz w:val="24"/>
          <w:szCs w:val="24"/>
          <w:highlight w:val="none"/>
        </w:rPr>
        <w:t xml:space="preserve">2.技术项</w:t>
      </w:r>
      <w:r>
        <w:rPr>
          <w:rFonts w:hint="eastAsia" w:ascii="宋体" w:hAnsi="宋体" w:cs="宋体"/>
          <w:color w:val="000000"/>
          <w:sz w:val="24"/>
          <w:szCs w:val="24"/>
          <w:highlight w:val="none"/>
        </w:rPr>
        <w:t xml:space="preserve">”得分由高到低顺序排列。在投标文件满足招标文件全部实质性要求的供应商中，按照评审得分由高到低推荐</w:t>
      </w:r>
      <w:r>
        <w:rPr>
          <w:rFonts w:hint="eastAsia" w:ascii="宋体" w:hAnsi="宋体"/>
          <w:color w:val="000000"/>
          <w:sz w:val="24"/>
          <w:szCs w:val="24"/>
          <w:highlight w:val="none"/>
        </w:rPr>
        <w:t xml:space="preserve">3名</w:t>
      </w:r>
      <w:r>
        <w:rPr>
          <w:rFonts w:hint="eastAsia" w:ascii="宋体" w:hAnsi="宋体" w:cs="宋体"/>
          <w:color w:val="000000"/>
          <w:sz w:val="24"/>
          <w:szCs w:val="24"/>
          <w:highlight w:val="none"/>
        </w:rPr>
        <w:t xml:space="preserve">中标候选人。</w:t>
      </w:r>
      <w:r>
        <w:rPr>
          <w:rFonts w:hint="eastAsia" w:ascii="宋体" w:hAnsi="宋体" w:cs="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2.核心产品评审。多家供应商提供的核心产品品牌相同的，按一家供应商计算，评审后得分最高的同品牌供应商获得中标人推荐资格。</w:t>
      </w:r>
      <w:r>
        <w:rPr>
          <w:rFonts w:hint="eastAsia" w:ascii="宋体" w:hAnsi="宋体" w:cs="宋体"/>
          <w:color w:val="000000"/>
          <w:sz w:val="24"/>
          <w:szCs w:val="24"/>
          <w:highlight w:val="none"/>
        </w:rPr>
      </w:r>
      <w:r/>
    </w:p>
    <w:p>
      <w:pPr>
        <w:pStyle w:val="881"/>
        <w:ind w:firstLine="480"/>
        <w:spacing w:line="264" w:lineRule="auto"/>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二、小微企业价格扣除</w:t>
      </w:r>
      <w:r>
        <w:rPr>
          <w:rFonts w:ascii="黑体" w:hAnsi="黑体" w:eastAsia="黑体" w:cs="黑体"/>
          <w:color w:val="000000"/>
          <w:sz w:val="24"/>
          <w:szCs w:val="24"/>
          <w:highlight w:val="none"/>
        </w:rPr>
      </w:r>
      <w:r/>
    </w:p>
    <w:p>
      <w:pPr>
        <w:pStyle w:val="881"/>
        <w:ind w:firstLine="48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本项目全部货物制造商为小微企业的，</w:t>
      </w:r>
      <w:r>
        <w:rPr>
          <w:rFonts w:hint="eastAsia" w:ascii="宋体" w:hAnsi="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cs="宋体"/>
          <w:color w:val="000000"/>
          <w:sz w:val="24"/>
          <w:szCs w:val="24"/>
          <w:highlight w:val="none"/>
        </w:rPr>
        <w:t xml:space="preserve">的扣除，用扣除后的价格参与评审。</w:t>
      </w:r>
      <w:r>
        <w:rPr>
          <w:rFonts w:hint="eastAsia" w:ascii="宋体" w:hAnsi="宋体"/>
          <w:color w:val="000000"/>
          <w:sz w:val="24"/>
          <w:szCs w:val="24"/>
          <w:highlight w:val="none"/>
        </w:rPr>
      </w:r>
      <w:r/>
    </w:p>
    <w:p>
      <w:pPr>
        <w:pStyle w:val="881"/>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2.残疾人福利性单位视同小型、微型企业，给予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的价格扣除，用扣除后的价格参与评审；监狱和戒毒企业视同小型、微型企业，给予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的价格扣除，用扣除后的价格参与评审。残疾人福利单位、监狱企业属于小型、微型企业的，不重复享受价格扣除。</w:t>
      </w:r>
      <w:r>
        <w:rPr>
          <w:rFonts w:hint="eastAsia" w:ascii="宋体" w:hAnsi="宋体" w:cs="宋体"/>
          <w:color w:val="000000"/>
          <w:sz w:val="24"/>
          <w:szCs w:val="24"/>
          <w:highlight w:val="none"/>
        </w:rPr>
      </w:r>
      <w:r/>
    </w:p>
    <w:p>
      <w:pPr>
        <w:pStyle w:val="881"/>
        <w:ind w:firstLine="480"/>
        <w:spacing w:line="264" w:lineRule="auto"/>
        <w:rPr>
          <w:rFonts w:hint="eastAsia"/>
          <w:color w:val="000000"/>
          <w:highlight w:val="none"/>
        </w:rPr>
      </w:pPr>
      <w:r>
        <w:rPr>
          <w:rFonts w:hint="eastAsia" w:ascii="黑体" w:hAnsi="黑体" w:eastAsia="黑体" w:cs="黑体"/>
          <w:color w:val="000000"/>
          <w:sz w:val="24"/>
          <w:szCs w:val="24"/>
          <w:highlight w:val="none"/>
        </w:rPr>
        <w:t xml:space="preserve">三、评标标准</w:t>
      </w:r>
      <w:r>
        <w:rPr>
          <w:rFonts w:hint="eastAsia"/>
          <w:color w:val="000000"/>
          <w:highlight w:val="none"/>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8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序号</w:t>
            </w:r>
            <w:r>
              <w:rPr>
                <w:rFonts w:ascii="宋体" w:hAnsi="宋体" w:cs="宋体"/>
                <w:b/>
                <w:bCs/>
                <w:color w:val="000000"/>
                <w:spacing w:val="-3"/>
                <w:szCs w:val="21"/>
                <w:highlight w:val="none"/>
              </w:rPr>
            </w:r>
            <w:r/>
          </w:p>
        </w:tc>
        <w:tc>
          <w:tcPr>
            <w:tcW w:w="1179" w:type="dxa"/>
            <w:vAlign w:val="center"/>
            <w:textDirection w:val="lrTb"/>
            <w:noWrap w:val="false"/>
          </w:tcPr>
          <w:p>
            <w:pPr>
              <w:pStyle w:val="88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评审因素</w:t>
            </w:r>
            <w:r>
              <w:rPr>
                <w:rFonts w:ascii="宋体" w:hAnsi="宋体" w:cs="宋体"/>
                <w:b/>
                <w:bCs/>
                <w:color w:val="000000"/>
                <w:spacing w:val="-3"/>
                <w:szCs w:val="21"/>
                <w:highlight w:val="none"/>
              </w:rPr>
            </w:r>
            <w:r/>
          </w:p>
        </w:tc>
        <w:tc>
          <w:tcPr>
            <w:tcW w:w="6330" w:type="dxa"/>
            <w:vAlign w:val="center"/>
            <w:textDirection w:val="lrTb"/>
            <w:noWrap w:val="false"/>
          </w:tcPr>
          <w:p>
            <w:pPr>
              <w:pStyle w:val="88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评审细则</w:t>
            </w:r>
            <w:r>
              <w:rPr>
                <w:rFonts w:ascii="宋体" w:hAnsi="宋体" w:cs="宋体"/>
                <w:b/>
                <w:bCs/>
                <w:color w:val="000000"/>
                <w:spacing w:val="-3"/>
                <w:szCs w:val="21"/>
                <w:highlight w:val="none"/>
              </w:rPr>
            </w:r>
            <w:r/>
          </w:p>
        </w:tc>
        <w:tc>
          <w:tcPr>
            <w:tcW w:w="647" w:type="dxa"/>
            <w:vAlign w:val="center"/>
            <w:textDirection w:val="lrTb"/>
            <w:noWrap w:val="false"/>
          </w:tcPr>
          <w:p>
            <w:pPr>
              <w:pStyle w:val="88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分值</w:t>
            </w:r>
            <w:r>
              <w:rPr>
                <w:rFonts w:ascii="宋体" w:hAnsi="宋体" w:cs="宋体"/>
                <w:b/>
                <w:bCs/>
                <w:color w:val="000000"/>
                <w:spacing w:val="-3"/>
                <w:szCs w:val="21"/>
                <w:highlight w:val="none"/>
              </w:rPr>
            </w:r>
            <w:r/>
          </w:p>
        </w:tc>
        <w:tc>
          <w:tcPr>
            <w:tcW w:w="900" w:type="dxa"/>
            <w:vAlign w:val="center"/>
            <w:textDirection w:val="lrTb"/>
            <w:noWrap w:val="false"/>
          </w:tcPr>
          <w:p>
            <w:pPr>
              <w:pStyle w:val="881"/>
              <w:jc w:val="center"/>
              <w:spacing w:before="122" w:line="288" w:lineRule="auto"/>
              <w:rPr>
                <w:rFonts w:ascii="宋体" w:hAnsi="宋体" w:cs="宋体"/>
                <w:b/>
                <w:bCs/>
                <w:color w:val="000000"/>
                <w:spacing w:val="-3"/>
                <w:szCs w:val="21"/>
                <w:highlight w:val="none"/>
              </w:rPr>
            </w:pPr>
            <w:r>
              <w:rPr>
                <w:rFonts w:ascii="宋体" w:hAnsi="宋体" w:cs="宋体"/>
                <w:b/>
                <w:bCs/>
                <w:color w:val="000000"/>
                <w:spacing w:val="-3"/>
                <w:szCs w:val="21"/>
                <w:highlight w:val="none"/>
              </w:rPr>
              <w:t xml:space="preserve">类型</w:t>
            </w:r>
            <w:r>
              <w:rPr>
                <w:rFonts w:ascii="宋体" w:hAnsi="宋体" w:cs="宋体"/>
                <w:b/>
                <w:bCs/>
                <w:color w:val="000000"/>
                <w:spacing w:val="-3"/>
                <w:szCs w:val="21"/>
                <w:highlight w:val="none"/>
              </w:rPr>
            </w:r>
            <w:r/>
          </w:p>
        </w:tc>
      </w:tr>
      <w:tr>
        <w:trPr>
          <w:trHeight w:val="460"/>
        </w:trPr>
        <w:tc>
          <w:tcPr>
            <w:gridSpan w:val="5"/>
            <w:tcW w:w="9575" w:type="dxa"/>
            <w:vAlign w:val="top"/>
            <w:textDirection w:val="lrTb"/>
            <w:noWrap w:val="false"/>
          </w:tcPr>
          <w:p>
            <w:pPr>
              <w:pStyle w:val="881"/>
              <w:ind w:left="114"/>
              <w:spacing w:before="122" w:line="264" w:lineRule="auto"/>
              <w:rPr>
                <w:rFonts w:hint="eastAsia" w:ascii="宋体" w:hAnsi="宋体" w:cs="宋体"/>
                <w:color w:val="000000"/>
                <w:szCs w:val="21"/>
                <w:highlight w:val="none"/>
              </w:rPr>
            </w:pPr>
            <w:r>
              <w:rPr>
                <w:rFonts w:hint="eastAsia" w:ascii="宋体" w:hAnsi="宋体" w:cs="宋体"/>
                <w:b/>
                <w:bCs/>
                <w:color w:val="000000"/>
                <w:spacing w:val="-3"/>
                <w:szCs w:val="21"/>
                <w:highlight w:val="none"/>
              </w:rPr>
              <w:t xml:space="preserve">1.价</w:t>
            </w:r>
            <w:r>
              <w:rPr>
                <w:rFonts w:hint="eastAsia" w:ascii="宋体" w:hAnsi="宋体" w:cs="宋体"/>
                <w:b/>
                <w:bCs/>
                <w:color w:val="000000"/>
                <w:spacing w:val="-2"/>
                <w:szCs w:val="21"/>
                <w:highlight w:val="none"/>
              </w:rPr>
              <w:t xml:space="preserve">格</w:t>
            </w:r>
            <w:r>
              <w:rPr>
                <w:rFonts w:hint="eastAsia" w:ascii="宋体" w:hAnsi="宋体" w:cs="宋体"/>
                <w:color w:val="000000"/>
                <w:szCs w:val="21"/>
                <w:highlight w:val="none"/>
              </w:rPr>
            </w:r>
            <w:r/>
          </w:p>
        </w:tc>
      </w:tr>
      <w:tr>
        <w:trPr>
          <w:trHeight w:val="1030"/>
        </w:trPr>
        <w:tc>
          <w:tcPr>
            <w:tcW w:w="519"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5"/>
                <w:szCs w:val="21"/>
                <w:highlight w:val="none"/>
              </w:rPr>
              <w:t xml:space="preserve">.1</w:t>
            </w:r>
            <w:r>
              <w:rPr>
                <w:rFonts w:hint="eastAsia" w:ascii="宋体" w:hAnsi="宋体" w:cs="宋体"/>
                <w:color w:val="000000"/>
                <w:szCs w:val="21"/>
                <w:highlight w:val="none"/>
              </w:rPr>
            </w:r>
            <w:r/>
          </w:p>
        </w:tc>
        <w:tc>
          <w:tcPr>
            <w:tcW w:w="1179" w:type="dxa"/>
            <w:vAlign w:val="center"/>
            <w:textDirection w:val="lrTb"/>
            <w:noWrap w:val="false"/>
          </w:tcPr>
          <w:p>
            <w:pPr>
              <w:pStyle w:val="881"/>
              <w:jc w:val="left"/>
              <w:spacing w:before="68" w:line="264" w:lineRule="auto"/>
              <w:rPr>
                <w:rFonts w:hint="eastAsia" w:ascii="宋体" w:hAnsi="宋体" w:cs="宋体"/>
                <w:color w:val="000000"/>
                <w:szCs w:val="21"/>
                <w:highlight w:val="none"/>
              </w:rPr>
            </w:pPr>
            <w:r>
              <w:rPr>
                <w:rFonts w:hint="eastAsia" w:ascii="宋体" w:hAnsi="宋体" w:cs="宋体"/>
                <w:color w:val="000000"/>
                <w:spacing w:val="-2"/>
                <w:szCs w:val="21"/>
                <w:highlight w:val="none"/>
              </w:rPr>
              <w:t xml:space="preserve">价格分</w:t>
            </w:r>
            <w:r>
              <w:rPr>
                <w:rFonts w:hint="eastAsia" w:ascii="宋体" w:hAnsi="宋体" w:cs="宋体"/>
                <w:color w:val="000000"/>
                <w:szCs w:val="21"/>
                <w:highlight w:val="none"/>
              </w:rPr>
            </w:r>
            <w:r/>
          </w:p>
        </w:tc>
        <w:tc>
          <w:tcPr>
            <w:tcW w:w="6330" w:type="dxa"/>
            <w:vAlign w:val="center"/>
            <w:textDirection w:val="lrTb"/>
            <w:noWrap w:val="false"/>
          </w:tcPr>
          <w:p>
            <w:pPr>
              <w:pStyle w:val="881"/>
              <w:jc w:val="left"/>
              <w:spacing w:line="264" w:lineRule="auto"/>
              <w:rPr>
                <w:rFonts w:hint="eastAsia" w:ascii="宋体" w:hAnsi="宋体" w:cs="宋体"/>
                <w:color w:val="000000"/>
                <w:szCs w:val="21"/>
                <w:highlight w:val="none"/>
              </w:rPr>
            </w:pPr>
            <w:r>
              <w:rPr>
                <w:rFonts w:hint="eastAsia" w:ascii="宋体" w:hAnsi="宋体" w:cs="宋体"/>
                <w:color w:val="000000"/>
                <w:spacing w:val="1"/>
                <w:szCs w:val="21"/>
                <w:highlight w:val="none"/>
              </w:rPr>
              <w:t xml:space="preserve">采用低价优先</w:t>
            </w:r>
            <w:r>
              <w:rPr>
                <w:rFonts w:hint="eastAsia" w:ascii="宋体" w:hAnsi="宋体" w:cs="宋体"/>
                <w:color w:val="000000"/>
                <w:szCs w:val="21"/>
                <w:highlight w:val="none"/>
              </w:rPr>
              <w:t xml:space="preserve">法计算，即满足招标文件要求且投标价格最低的投标</w:t>
            </w:r>
            <w:r>
              <w:rPr>
                <w:rFonts w:hint="eastAsia" w:ascii="宋体" w:hAnsi="宋体" w:cs="宋体"/>
                <w:color w:val="000000"/>
                <w:spacing w:val="1"/>
                <w:szCs w:val="21"/>
                <w:highlight w:val="none"/>
              </w:rPr>
              <w:t xml:space="preserve">报价为评标基准</w:t>
            </w:r>
            <w:r>
              <w:rPr>
                <w:rFonts w:hint="eastAsia" w:ascii="宋体" w:hAnsi="宋体" w:cs="宋体"/>
                <w:color w:val="000000"/>
                <w:szCs w:val="21"/>
                <w:highlight w:val="none"/>
              </w:rPr>
              <w:t xml:space="preserve">价，其价格分为满分。其他投标人的价格分统一按</w:t>
            </w:r>
            <w:r>
              <w:rPr>
                <w:rFonts w:hint="eastAsia" w:ascii="宋体" w:hAnsi="宋体" w:cs="宋体"/>
                <w:color w:val="000000"/>
                <w:spacing w:val="-1"/>
                <w:szCs w:val="21"/>
                <w:highlight w:val="none"/>
              </w:rPr>
              <w:t xml:space="preserve">照下列公</w:t>
            </w:r>
            <w:r>
              <w:rPr>
                <w:rFonts w:hint="eastAsia" w:ascii="宋体" w:hAnsi="宋体" w:cs="宋体"/>
                <w:color w:val="000000"/>
                <w:szCs w:val="21"/>
                <w:highlight w:val="none"/>
              </w:rPr>
              <w:t xml:space="preserve">式计算：投标报价得分=(评标基准价/投标报价)×价格分值（小数点保留两位）</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价格分</w:t>
            </w:r>
            <w:r>
              <w:rPr>
                <w:rFonts w:hint="eastAsia" w:ascii="宋体" w:hAnsi="宋体" w:cs="宋体"/>
                <w:color w:val="000000"/>
                <w:szCs w:val="21"/>
                <w:highlight w:val="none"/>
              </w:rPr>
            </w:r>
            <w:r/>
          </w:p>
        </w:tc>
      </w:tr>
      <w:tr>
        <w:trPr>
          <w:trHeight w:val="460"/>
        </w:trPr>
        <w:tc>
          <w:tcPr>
            <w:gridSpan w:val="5"/>
            <w:tcW w:w="9575" w:type="dxa"/>
            <w:vAlign w:val="top"/>
            <w:textDirection w:val="lrTb"/>
            <w:noWrap w:val="false"/>
          </w:tcPr>
          <w:p>
            <w:pPr>
              <w:pStyle w:val="881"/>
              <w:ind w:left="114"/>
              <w:spacing w:before="123" w:line="264" w:lineRule="auto"/>
              <w:rPr>
                <w:rFonts w:hint="eastAsia" w:ascii="宋体" w:hAnsi="宋体" w:cs="宋体"/>
                <w:color w:val="000000"/>
                <w:szCs w:val="21"/>
                <w:highlight w:val="none"/>
              </w:rPr>
            </w:pPr>
            <w:r>
              <w:rPr>
                <w:rFonts w:hint="eastAsia" w:ascii="宋体" w:hAnsi="宋体" w:cs="宋体"/>
                <w:b/>
                <w:bCs/>
                <w:color w:val="000000"/>
                <w:spacing w:val="-3"/>
                <w:szCs w:val="21"/>
                <w:highlight w:val="none"/>
              </w:rPr>
              <w:t xml:space="preserve">2.技术</w:t>
            </w:r>
            <w:r>
              <w:rPr>
                <w:rFonts w:hint="eastAsia" w:ascii="宋体" w:hAnsi="宋体" w:cs="宋体"/>
                <w:color w:val="000000"/>
                <w:szCs w:val="21"/>
                <w:highlight w:val="none"/>
              </w:rPr>
            </w:r>
            <w:r/>
          </w:p>
        </w:tc>
      </w:tr>
      <w:tr>
        <w:trPr>
          <w:trHeight w:val="891"/>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2.1</w:t>
            </w:r>
            <w:r>
              <w:rPr>
                <w:rFonts w:hint="eastAsia" w:ascii="宋体" w:hAnsi="宋体" w:cs="宋体"/>
                <w:color w:val="000000"/>
                <w:spacing w:val="-2"/>
                <w:szCs w:val="21"/>
                <w:highlight w:val="none"/>
              </w:rPr>
            </w:r>
            <w:r/>
          </w:p>
        </w:tc>
        <w:tc>
          <w:tcPr>
            <w:tcW w:w="1179" w:type="dxa"/>
            <w:vAlign w:val="center"/>
            <w:textDirection w:val="lrTb"/>
            <w:noWrap w:val="false"/>
          </w:tcPr>
          <w:p>
            <w:pPr>
              <w:pStyle w:val="881"/>
              <w:jc w:val="left"/>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产品技术参数</w:t>
            </w:r>
            <w:r>
              <w:rPr>
                <w:rFonts w:hint="eastAsia" w:ascii="宋体" w:hAnsi="宋体" w:cs="宋体"/>
                <w:color w:val="000000"/>
                <w:spacing w:val="-2"/>
                <w:szCs w:val="21"/>
                <w:highlight w:val="none"/>
              </w:rPr>
            </w:r>
            <w:r/>
          </w:p>
        </w:tc>
        <w:tc>
          <w:tcPr>
            <w:tcW w:w="6330" w:type="dxa"/>
            <w:vAlign w:val="center"/>
            <w:textDirection w:val="lrTb"/>
            <w:noWrap w:val="false"/>
          </w:tcPr>
          <w:p>
            <w:pPr>
              <w:pStyle w:val="881"/>
              <w:spacing w:line="264" w:lineRule="auto"/>
              <w:rPr>
                <w:rFonts w:hint="eastAsia" w:ascii="宋体" w:hAnsi="宋体" w:cs="宋体"/>
                <w:color w:val="000000"/>
                <w:spacing w:val="1"/>
                <w:szCs w:val="21"/>
                <w:highlight w:val="none"/>
              </w:rPr>
            </w:pPr>
            <w:r>
              <w:rPr>
                <w:rFonts w:hint="eastAsia" w:ascii="宋体" w:hAnsi="宋体" w:cs="宋体"/>
                <w:color w:val="000000"/>
                <w:szCs w:val="21"/>
                <w:highlight w:val="none"/>
              </w:rPr>
              <w:t xml:space="preserve">产品技术参数全部满足招标要求的得满分，打★指标为必须满足项，如有负偏离将作为无效投标，打▲指标为重要指标，有1项负偏离扣2分，其余指标有1项负偏离扣1分，扣完为止。</w:t>
            </w:r>
            <w:r>
              <w:rPr>
                <w:rFonts w:hint="eastAsia" w:ascii="宋体" w:hAnsi="宋体" w:cs="宋体"/>
                <w:color w:val="000000"/>
                <w:spacing w:val="1"/>
                <w:szCs w:val="21"/>
                <w:highlight w:val="none"/>
              </w:rPr>
            </w:r>
            <w:r/>
          </w:p>
        </w:tc>
        <w:tc>
          <w:tcPr>
            <w:tcW w:w="647"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zCs w:val="21"/>
                <w:highlight w:val="none"/>
              </w:rPr>
            </w:r>
            <w:r/>
          </w:p>
        </w:tc>
      </w:tr>
      <w:tr>
        <w:trPr>
          <w:trHeight w:val="889"/>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2.2</w:t>
            </w:r>
            <w:r>
              <w:rPr>
                <w:rFonts w:hint="eastAsia" w:ascii="宋体" w:hAnsi="宋体" w:cs="宋体"/>
                <w:color w:val="000000"/>
                <w:spacing w:val="-2"/>
                <w:szCs w:val="21"/>
                <w:highlight w:val="none"/>
              </w:rPr>
            </w:r>
            <w:r/>
          </w:p>
        </w:tc>
        <w:tc>
          <w:tcPr>
            <w:tcW w:w="1179" w:type="dxa"/>
            <w:vAlign w:val="center"/>
            <w:textDirection w:val="lrTb"/>
            <w:noWrap w:val="false"/>
          </w:tcPr>
          <w:p>
            <w:pPr>
              <w:pStyle w:val="881"/>
              <w:jc w:val="left"/>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深化设计方案</w:t>
            </w:r>
            <w:r>
              <w:rPr>
                <w:rFonts w:ascii="宋体" w:hAnsi="宋体" w:cs="宋体"/>
                <w:color w:val="000000"/>
                <w:szCs w:val="21"/>
                <w:highlight w:val="none"/>
              </w:rPr>
            </w:r>
            <w:r/>
          </w:p>
        </w:tc>
        <w:tc>
          <w:tcPr>
            <w:tcW w:w="6330" w:type="dxa"/>
            <w:vAlign w:val="center"/>
            <w:textDirection w:val="lrTb"/>
            <w:noWrap w:val="false"/>
          </w:tcPr>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评委根据投标人提供的深化设计方案综合评分：</w:t>
            </w:r>
            <w:r>
              <w:rPr>
                <w:rFonts w:hint="eastAsia" w:ascii="宋体" w:hAnsi="宋体" w:cs="宋体"/>
                <w:color w:val="000000"/>
                <w:szCs w:val="21"/>
                <w:highlight w:val="none"/>
                <w:lang w:bidi="ar"/>
              </w:rPr>
            </w:r>
            <w:r/>
          </w:p>
          <w:p>
            <w:pPr>
              <w:pStyle w:val="881"/>
              <w:numPr>
                <w:ilvl w:val="0"/>
                <w:numId w:val="10"/>
              </w:numPr>
              <w:spacing w:line="264" w:lineRule="auto"/>
              <w:tabs>
                <w:tab w:val="left" w:pos="312"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w:t>
            </w:r>
            <w:r>
              <w:rPr>
                <w:rFonts w:hint="eastAsia" w:ascii="宋体" w:hAnsi="宋体" w:cs="宋体"/>
                <w:color w:val="000000"/>
                <w:szCs w:val="21"/>
                <w:highlight w:val="none"/>
                <w:lang w:val="en-US" w:eastAsia="zh-CN" w:bidi="ar"/>
              </w:rPr>
              <w:t xml:space="preserve">人</w:t>
            </w:r>
            <w:r>
              <w:rPr>
                <w:rFonts w:hint="eastAsia" w:ascii="宋体" w:hAnsi="宋体" w:cs="宋体"/>
                <w:color w:val="000000"/>
                <w:szCs w:val="21"/>
                <w:highlight w:val="none"/>
                <w:lang w:bidi="ar"/>
              </w:rPr>
              <w:t xml:space="preserve">提供针对采购需求的整体规划设计布置图</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包含采购需求内的生物综合实验室、生物数码显微实验室、生物技术实验室、生物组培微生物实验室、物理数字化实验室/物理竞赛与大学先修实验室、物理智慧实验室、生物和化学化智慧实验室及辅房等</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；根据江苏省高级中学理科实验室装备标准要求，同时针对采购需求与平面规划的匹配度、合理性，进行综合</w:t>
            </w:r>
            <w:r>
              <w:rPr>
                <w:rFonts w:hint="eastAsia" w:ascii="宋体" w:hAnsi="宋体" w:cs="宋体"/>
                <w:color w:val="000000"/>
                <w:szCs w:val="21"/>
                <w:highlight w:val="none"/>
                <w:lang w:val="en-US" w:eastAsia="zh-CN" w:bidi="ar"/>
              </w:rPr>
              <w:t xml:space="preserve">评</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上述内容完整、科学性、合理性强得2分；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上述内容基本完整、基本科学合理得1分；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上述内容不完整、不科学得0.5分；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未提供的不得分。</w:t>
            </w:r>
            <w:r>
              <w:rPr>
                <w:rFonts w:hint="eastAsia" w:ascii="宋体" w:hAnsi="宋体" w:cs="宋体"/>
                <w:color w:val="000000"/>
                <w:szCs w:val="21"/>
                <w:highlight w:val="none"/>
                <w:lang w:bidi="ar"/>
              </w:rPr>
            </w:r>
            <w:r/>
          </w:p>
          <w:p>
            <w:pPr>
              <w:pStyle w:val="881"/>
              <w:numPr>
                <w:ilvl w:val="0"/>
                <w:numId w:val="10"/>
              </w:numPr>
              <w:spacing w:line="264" w:lineRule="auto"/>
              <w:tabs>
                <w:tab w:val="left" w:pos="312"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w:t>
            </w:r>
            <w:r>
              <w:rPr>
                <w:rFonts w:hint="eastAsia" w:ascii="宋体" w:hAnsi="宋体" w:cs="宋体"/>
                <w:color w:val="000000"/>
                <w:szCs w:val="21"/>
                <w:highlight w:val="none"/>
                <w:lang w:val="en-US" w:eastAsia="zh-CN" w:bidi="ar"/>
              </w:rPr>
              <w:t xml:space="preserve">人</w:t>
            </w:r>
            <w:r>
              <w:rPr>
                <w:rFonts w:hint="eastAsia" w:ascii="宋体" w:hAnsi="宋体" w:cs="宋体"/>
                <w:color w:val="000000"/>
                <w:szCs w:val="21"/>
                <w:highlight w:val="none"/>
                <w:lang w:bidi="ar"/>
              </w:rPr>
              <w:t xml:space="preserve">提供针对采购需求的整体规划设计施工图</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包含采购需求内的生物综合实验室、生物数码显微实验室、生物技术实验室、生物组培微生物实验室、物理数字化实验室/物理竞赛与大学先修实验室、物理智慧实验室、生物和化学智慧实验室及辅房等</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，根据采购需求对图纸的合理性与规范性进行综合</w:t>
            </w:r>
            <w:r>
              <w:rPr>
                <w:rFonts w:hint="eastAsia" w:ascii="宋体" w:hAnsi="宋体" w:cs="宋体"/>
                <w:color w:val="000000"/>
                <w:szCs w:val="21"/>
                <w:highlight w:val="none"/>
                <w:lang w:val="en-US" w:eastAsia="zh-CN" w:bidi="ar"/>
              </w:rPr>
              <w:t xml:space="preserve">评</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上述内容完整、科学性、合理性强得3分；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上述内容基本完整、基本科学合理得2分；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上述内容不完整、不科学得1分；</w:t>
            </w:r>
            <w:r>
              <w:rPr>
                <w:rFonts w:hint="eastAsia" w:ascii="宋体" w:hAnsi="宋体" w:cs="宋体"/>
                <w:color w:val="000000"/>
                <w:szCs w:val="21"/>
                <w:highlight w:val="none"/>
                <w:lang w:bidi="ar"/>
              </w:rPr>
            </w:r>
            <w:r/>
          </w:p>
          <w:p>
            <w:pPr>
              <w:pStyle w:val="881"/>
              <w:spacing w:line="264"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不提供不符合不得分。</w:t>
            </w:r>
            <w:r>
              <w:rPr>
                <w:rFonts w:hint="eastAsia" w:ascii="宋体" w:hAnsi="宋体" w:cs="宋体"/>
                <w:color w:val="000000"/>
                <w:szCs w:val="21"/>
                <w:highlight w:val="none"/>
                <w:lang w:bidi="ar"/>
              </w:rPr>
            </w:r>
            <w:r/>
          </w:p>
          <w:p>
            <w:pPr>
              <w:pStyle w:val="881"/>
              <w:numPr>
                <w:ilvl w:val="0"/>
                <w:numId w:val="10"/>
              </w:numPr>
              <w:jc w:val="left"/>
              <w:spacing w:line="264" w:lineRule="auto"/>
              <w:tabs>
                <w:tab w:val="left" w:pos="312" w:leader="none"/>
              </w:tabs>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w:t>
            </w:r>
            <w:r>
              <w:rPr>
                <w:rFonts w:hint="eastAsia" w:ascii="宋体" w:hAnsi="宋体" w:cs="宋体"/>
                <w:color w:val="000000"/>
                <w:szCs w:val="21"/>
                <w:highlight w:val="none"/>
                <w:lang w:val="en-US" w:eastAsia="zh-CN" w:bidi="ar"/>
              </w:rPr>
              <w:t xml:space="preserve">人</w:t>
            </w:r>
            <w:r>
              <w:rPr>
                <w:rFonts w:hint="eastAsia" w:ascii="宋体" w:hAnsi="宋体" w:cs="宋体"/>
                <w:color w:val="000000"/>
                <w:szCs w:val="21"/>
                <w:highlight w:val="none"/>
                <w:lang w:bidi="ar"/>
              </w:rPr>
              <w:t xml:space="preserve">提供针对采购需求的主要空间与实际场地平面尺寸匹配的深化效果图</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包含采购需求内的生物综合实验室、生物数码显微实验室、生物技术实验室、生物组培微生物实验室、物理数字化实验室/物理竞赛与大学先修实验室、物理智慧实验室、生物和化学智慧实验室及辅房</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，效果图中实验室桌椅、设备摆放要与之提供的布置图相匹配且能体现数字化和创新实验室特性。</w:t>
            </w:r>
            <w:r>
              <w:rPr>
                <w:rFonts w:hint="eastAsia" w:ascii="宋体" w:hAnsi="宋体" w:cs="宋体"/>
                <w:color w:val="000000"/>
                <w:szCs w:val="21"/>
                <w:highlight w:val="none"/>
                <w:lang w:bidi="ar"/>
              </w:rPr>
            </w:r>
            <w:r/>
          </w:p>
          <w:p>
            <w:pPr>
              <w:pStyle w:val="881"/>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上述内容完整、科学性、合理性强得3分；</w:t>
            </w:r>
            <w:r>
              <w:rPr>
                <w:rFonts w:hint="eastAsia" w:ascii="宋体" w:hAnsi="宋体" w:cs="宋体"/>
                <w:color w:val="000000"/>
                <w:szCs w:val="21"/>
                <w:highlight w:val="none"/>
              </w:rPr>
            </w:r>
            <w:r/>
          </w:p>
          <w:p>
            <w:pPr>
              <w:pStyle w:val="881"/>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上述内容基本完整、基本科学合理得2分；</w:t>
            </w:r>
            <w:r>
              <w:rPr>
                <w:rFonts w:hint="eastAsia" w:ascii="宋体" w:hAnsi="宋体" w:cs="宋体"/>
                <w:color w:val="000000"/>
                <w:szCs w:val="21"/>
                <w:highlight w:val="none"/>
              </w:rPr>
            </w:r>
            <w:r/>
          </w:p>
          <w:p>
            <w:pPr>
              <w:pStyle w:val="881"/>
              <w:jc w:val="left"/>
              <w:spacing w:line="264"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上述内容不完整、不科学得1分；</w:t>
            </w:r>
            <w:r>
              <w:rPr>
                <w:rFonts w:hint="eastAsia" w:ascii="宋体" w:hAnsi="宋体" w:cs="宋体"/>
                <w:color w:val="000000"/>
                <w:szCs w:val="21"/>
                <w:highlight w:val="none"/>
              </w:rPr>
            </w:r>
            <w:r/>
          </w:p>
          <w:p>
            <w:pPr>
              <w:pStyle w:val="881"/>
              <w:rPr>
                <w:rFonts w:hint="eastAsia"/>
                <w:color w:val="000000"/>
                <w:highlight w:val="none"/>
              </w:rPr>
            </w:pPr>
            <w:r>
              <w:rPr>
                <w:rFonts w:hint="eastAsia" w:ascii="宋体" w:hAnsi="宋体" w:cs="宋体"/>
                <w:color w:val="000000"/>
                <w:szCs w:val="21"/>
                <w:highlight w:val="none"/>
                <w:lang w:bidi="ar"/>
              </w:rPr>
              <w:t xml:space="preserve">不提供不符合不得分。</w:t>
            </w:r>
            <w:r>
              <w:rPr>
                <w:rFonts w:hint="eastAsia"/>
                <w:color w:val="000000"/>
                <w:highlight w:val="none"/>
              </w:rPr>
            </w:r>
            <w:r/>
          </w:p>
        </w:tc>
        <w:tc>
          <w:tcPr>
            <w:tcW w:w="647"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主观分</w:t>
            </w:r>
            <w:r>
              <w:rPr>
                <w:rFonts w:hint="eastAsia" w:ascii="宋体" w:hAnsi="宋体" w:cs="宋体"/>
                <w:color w:val="000000"/>
                <w:szCs w:val="21"/>
                <w:highlight w:val="none"/>
              </w:rPr>
            </w:r>
            <w:r/>
          </w:p>
        </w:tc>
      </w:tr>
      <w:tr>
        <w:trPr>
          <w:trHeight w:val="889"/>
        </w:trPr>
        <w:tc>
          <w:tcPr>
            <w:tcW w:w="519" w:type="dxa"/>
            <w:vAlign w:val="center"/>
            <w:textDirection w:val="lrTb"/>
            <w:noWrap w:val="false"/>
          </w:tcPr>
          <w:p>
            <w:pPr>
              <w:pStyle w:val="881"/>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2.3</w:t>
            </w:r>
            <w:r>
              <w:rPr>
                <w:rFonts w:ascii="宋体" w:hAnsi="宋体" w:cs="宋体"/>
                <w:color w:val="000000"/>
                <w:spacing w:val="-2"/>
                <w:szCs w:val="21"/>
                <w:highlight w:val="none"/>
              </w:rPr>
            </w:r>
            <w:r/>
          </w:p>
        </w:tc>
        <w:tc>
          <w:tcPr>
            <w:tcW w:w="1179" w:type="dxa"/>
            <w:vAlign w:val="center"/>
            <w:textDirection w:val="lrTb"/>
            <w:noWrap w:val="false"/>
          </w:tcPr>
          <w:p>
            <w:pPr>
              <w:pStyle w:val="881"/>
              <w:jc w:val="left"/>
              <w:spacing w:before="68" w:line="264" w:lineRule="auto"/>
              <w:rPr>
                <w:rFonts w:hint="eastAsia" w:ascii="宋体" w:hAnsi="宋体" w:cs="宋体"/>
                <w:color w:val="000000"/>
                <w:szCs w:val="21"/>
                <w:highlight w:val="none"/>
              </w:rPr>
            </w:pPr>
            <w:r>
              <w:rPr>
                <w:rFonts w:hint="eastAsia" w:ascii="宋体" w:hAnsi="宋体" w:cs="宋体"/>
                <w:color w:val="000000"/>
                <w:highlight w:val="none"/>
              </w:rPr>
              <w:t xml:space="preserve">原材料检测报告</w:t>
            </w:r>
            <w:r>
              <w:rPr>
                <w:rFonts w:hint="eastAsia" w:ascii="宋体" w:hAnsi="宋体" w:cs="宋体"/>
                <w:color w:val="000000"/>
                <w:szCs w:val="21"/>
                <w:highlight w:val="none"/>
              </w:rPr>
            </w:r>
            <w:r/>
          </w:p>
        </w:tc>
        <w:tc>
          <w:tcPr>
            <w:tcW w:w="6330" w:type="dxa"/>
            <w:vAlign w:val="center"/>
            <w:textDirection w:val="lrTb"/>
            <w:noWrap w:val="false"/>
          </w:tcPr>
          <w:p>
            <w:pPr>
              <w:pStyle w:val="881"/>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1.投标人提供原材料（陶瓷台面）以下各项指标满足要求的具有CMA标识的检测报告，全部满足得2分：</w:t>
            </w:r>
            <w:r>
              <w:rPr>
                <w:rFonts w:hint="eastAsia" w:ascii="宋体" w:hAnsi="宋体" w:cs="宋体"/>
                <w:color w:val="000000"/>
                <w:szCs w:val="21"/>
                <w:highlight w:val="none"/>
              </w:rPr>
            </w:r>
            <w:r/>
          </w:p>
          <w:p>
            <w:pPr>
              <w:pStyle w:val="881"/>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①依据 GB/T3810.11-2016《陶瓷砖试验方法 第11部分:有釉砖抗釉裂性的测定》检测方法且指标满足:抗釉裂性(无釉裂)检测结果符合要求。</w:t>
            </w:r>
            <w:r>
              <w:rPr>
                <w:rFonts w:hint="eastAsia" w:ascii="宋体" w:hAnsi="宋体" w:cs="宋体"/>
                <w:color w:val="000000"/>
                <w:szCs w:val="21"/>
                <w:highlight w:val="none"/>
              </w:rPr>
            </w:r>
            <w:r/>
          </w:p>
          <w:p>
            <w:pPr>
              <w:pStyle w:val="881"/>
              <w:jc w:val="left"/>
              <w:widowControl/>
              <w:rPr>
                <w:rFonts w:hint="eastAsia" w:ascii="宋体" w:hAnsi="宋体" w:cs="宋体"/>
                <w:b/>
                <w:bCs/>
                <w:color w:val="000000"/>
                <w:szCs w:val="21"/>
                <w:highlight w:val="none"/>
              </w:rPr>
            </w:pPr>
            <w:r>
              <w:rPr>
                <w:rFonts w:hint="eastAsia" w:ascii="宋体" w:hAnsi="宋体" w:cs="宋体"/>
                <w:color w:val="000000"/>
                <w:szCs w:val="21"/>
                <w:highlight w:val="none"/>
              </w:rPr>
              <w:t xml:space="preserve">②依据 GB/T3810.7-2016《陶瓷砖试验方法 第7部分:有釉砖表面耐磨性的测定》检测方法且指标满足:有釉耐磨不低于4级(2100 转)。</w:t>
            </w:r>
            <w:r>
              <w:rPr>
                <w:rFonts w:hint="eastAsia" w:ascii="宋体" w:hAnsi="宋体" w:cs="宋体"/>
                <w:b/>
                <w:bCs/>
                <w:color w:val="000000"/>
                <w:szCs w:val="21"/>
                <w:highlight w:val="none"/>
              </w:rPr>
            </w:r>
            <w:r/>
          </w:p>
          <w:p>
            <w:pPr>
              <w:pStyle w:val="881"/>
              <w:rPr>
                <w:rFonts w:hint="eastAsia" w:ascii="宋体" w:hAnsi="宋体" w:cs="宋体"/>
                <w:color w:val="000000"/>
                <w:szCs w:val="21"/>
                <w:highlight w:val="none"/>
              </w:rPr>
            </w:pPr>
            <w:r>
              <w:rPr>
                <w:rFonts w:hint="eastAsia" w:ascii="宋体" w:hAnsi="宋体" w:cs="宋体"/>
                <w:color w:val="000000"/>
                <w:szCs w:val="21"/>
                <w:highlight w:val="none"/>
              </w:rPr>
              <w:t xml:space="preserve">③、依据 GB/T9966.1-2020《天然石材试验方法 第1部分:干燥、水饱和、冻融循环后压缩强度试验》检测方法且指标满足:压缩强度不低于 280MPa。</w:t>
            </w:r>
            <w:r>
              <w:rPr>
                <w:rFonts w:hint="eastAsia" w:ascii="宋体" w:hAnsi="宋体" w:cs="宋体"/>
                <w:color w:val="000000"/>
                <w:szCs w:val="21"/>
                <w:highlight w:val="none"/>
              </w:rPr>
            </w:r>
            <w:r/>
          </w:p>
          <w:p>
            <w:pPr>
              <w:pStyle w:val="881"/>
              <w:rPr>
                <w:rFonts w:hint="eastAsia" w:ascii="宋体" w:hAnsi="宋体" w:cs="宋体"/>
                <w:color w:val="000000"/>
                <w:szCs w:val="21"/>
                <w:highlight w:val="none"/>
              </w:rP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 4 \* GB3 \* MERGEFORMAT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④</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依据 GB/T3810.4-2016《陶瓷砖试验方法 第4部分:断裂模数和破坏强度的测定》检测方法日指标满足:破坏强度不低于 13000N:断裂模数平均值不低于 51MPa、单个值&gt;32MPa的检测结果符合要求。</w:t>
            </w:r>
            <w:r>
              <w:rPr>
                <w:rFonts w:hint="eastAsia" w:ascii="宋体" w:hAnsi="宋体" w:cs="宋体"/>
                <w:color w:val="000000"/>
                <w:szCs w:val="21"/>
                <w:highlight w:val="none"/>
              </w:rPr>
            </w:r>
            <w:r/>
          </w:p>
          <w:p>
            <w:pPr>
              <w:pStyle w:val="881"/>
              <w:rPr>
                <w:rFonts w:hint="eastAsia" w:ascii="宋体" w:hAnsi="宋体" w:cs="宋体"/>
                <w:b/>
                <w:bCs/>
                <w:color w:val="000000"/>
                <w:szCs w:val="21"/>
                <w:highlight w:val="none"/>
              </w:rPr>
            </w:pPr>
            <w:r>
              <w:rPr>
                <w:rFonts w:hint="eastAsia" w:ascii="宋体" w:hAnsi="宋体" w:cs="宋体"/>
                <w:b/>
                <w:bCs/>
                <w:color w:val="000000"/>
                <w:szCs w:val="21"/>
                <w:highlight w:val="none"/>
              </w:rPr>
              <w:fldChar w:fldCharType="begin"/>
            </w:r>
            <w:r>
              <w:rPr>
                <w:rFonts w:hint="eastAsia" w:ascii="宋体" w:hAnsi="宋体" w:cs="宋体"/>
                <w:b/>
                <w:bCs/>
                <w:color w:val="000000"/>
                <w:szCs w:val="21"/>
                <w:highlight w:val="none"/>
              </w:rPr>
              <w:instrText xml:space="preserve"> = 5 \* GB3 \* MERGEFORMAT </w:instrText>
            </w:r>
            <w:r>
              <w:rPr>
                <w:rFonts w:hint="eastAsia" w:ascii="宋体" w:hAnsi="宋体" w:cs="宋体"/>
                <w:b/>
                <w:bCs/>
                <w:color w:val="000000"/>
                <w:szCs w:val="21"/>
                <w:highlight w:val="none"/>
              </w:rPr>
              <w:fldChar w:fldCharType="separate"/>
            </w:r>
            <w:r>
              <w:rPr>
                <w:rFonts w:hint="eastAsia" w:ascii="宋体" w:hAnsi="宋体" w:cs="宋体"/>
                <w:color w:val="000000"/>
                <w:szCs w:val="21"/>
                <w:highlight w:val="none"/>
              </w:rPr>
              <w:t xml:space="preserve">⑤</w:t>
            </w:r>
            <w:r>
              <w:rPr>
                <w:rFonts w:hint="eastAsia" w:ascii="宋体" w:hAnsi="宋体" w:cs="宋体"/>
                <w:b/>
                <w:bCs/>
                <w:color w:val="000000"/>
                <w:szCs w:val="21"/>
                <w:highlight w:val="none"/>
              </w:rPr>
              <w:fldChar w:fldCharType="end"/>
            </w:r>
            <w:r>
              <w:rPr>
                <w:rFonts w:hint="eastAsia" w:ascii="宋体" w:hAnsi="宋体" w:cs="宋体"/>
                <w:color w:val="000000"/>
                <w:szCs w:val="21"/>
                <w:highlight w:val="none"/>
              </w:rPr>
              <w:t xml:space="preserve">依据 GB/T3810.5-2016《陶瓷砖试验方法 第5部分:用恢复系数确定砖的抗冲击性》检测方法且满足:抗冲击性不低于0.55 的检测结果符合要求。</w:t>
            </w:r>
            <w:r>
              <w:rPr>
                <w:rFonts w:hint="eastAsia" w:ascii="宋体" w:hAnsi="宋体" w:cs="宋体"/>
                <w:b/>
                <w:bCs/>
                <w:color w:val="000000"/>
                <w:szCs w:val="21"/>
                <w:highlight w:val="none"/>
              </w:rPr>
            </w:r>
            <w:r/>
          </w:p>
          <w:p>
            <w:pPr>
              <w:pStyle w:val="881"/>
              <w:rPr>
                <w:rFonts w:hint="eastAsia" w:ascii="宋体" w:hAnsi="宋体" w:cs="宋体"/>
                <w:color w:val="000000"/>
                <w:szCs w:val="21"/>
                <w:highlight w:val="none"/>
              </w:rPr>
            </w:pPr>
            <w:r>
              <w:rPr>
                <w:rFonts w:hint="eastAsia" w:ascii="宋体" w:hAnsi="宋体" w:cs="宋体"/>
                <w:color w:val="000000"/>
                <w:szCs w:val="21"/>
                <w:highlight w:val="none"/>
              </w:rPr>
            </w:r>
            <w:r/>
          </w:p>
          <w:p>
            <w:pPr>
              <w:pStyle w:val="88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pacing w:val="-6"/>
                <w:szCs w:val="21"/>
                <w:highlight w:val="none"/>
              </w:rPr>
            </w:r>
            <w:r/>
          </w:p>
        </w:tc>
      </w:tr>
      <w:tr>
        <w:trPr>
          <w:trHeight w:val="889"/>
        </w:trPr>
        <w:tc>
          <w:tcPr>
            <w:tcW w:w="519" w:type="dxa"/>
            <w:vAlign w:val="center"/>
            <w:textDirection w:val="lrTb"/>
            <w:noWrap w:val="false"/>
          </w:tcPr>
          <w:p>
            <w:pPr>
              <w:pStyle w:val="881"/>
              <w:jc w:val="center"/>
              <w:spacing w:before="68" w:line="264" w:lineRule="auto"/>
              <w:rPr>
                <w:rFonts w:ascii="宋体" w:hAnsi="宋体" w:eastAsia="宋体" w:cs="宋体"/>
                <w:color w:val="000000"/>
                <w:spacing w:val="-2"/>
                <w:szCs w:val="21"/>
                <w:highlight w:val="none"/>
                <w:lang w:val="en-US" w:eastAsia="zh-CN"/>
              </w:rPr>
            </w:pPr>
            <w:r>
              <w:rPr>
                <w:rFonts w:hint="eastAsia" w:ascii="宋体" w:hAnsi="宋体" w:cs="宋体"/>
                <w:color w:val="000000"/>
                <w:spacing w:val="-2"/>
                <w:szCs w:val="21"/>
                <w:highlight w:val="none"/>
                <w:lang w:val="en-US" w:eastAsia="zh-CN"/>
              </w:rPr>
              <w:t xml:space="preserve">2.4</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81"/>
              <w:jc w:val="left"/>
              <w:spacing w:before="68" w:line="264" w:lineRule="auto"/>
              <w:rPr>
                <w:rFonts w:hint="eastAsia" w:ascii="宋体" w:hAnsi="宋体" w:cs="宋体"/>
                <w:color w:val="000000"/>
                <w:highlight w:val="none"/>
              </w:rPr>
            </w:pPr>
            <w:r>
              <w:rPr>
                <w:rFonts w:hint="eastAsia" w:ascii="宋体" w:hAnsi="宋体" w:cs="宋体"/>
                <w:color w:val="000000"/>
                <w:szCs w:val="21"/>
                <w:highlight w:val="none"/>
              </w:rPr>
              <w:t xml:space="preserve">成品检测报告</w:t>
            </w:r>
            <w:r>
              <w:rPr>
                <w:rFonts w:hint="eastAsia" w:ascii="宋体" w:hAnsi="宋体" w:cs="宋体"/>
                <w:color w:val="000000"/>
                <w:highlight w:val="none"/>
              </w:rPr>
            </w:r>
            <w:r/>
          </w:p>
        </w:tc>
        <w:tc>
          <w:tcPr>
            <w:tcW w:w="6330" w:type="dxa"/>
            <w:vAlign w:val="center"/>
            <w:textDirection w:val="lrTb"/>
            <w:noWrap w:val="false"/>
          </w:tcPr>
          <w:p>
            <w:pPr>
              <w:pStyle w:val="881"/>
              <w:jc w:val="left"/>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投标人提供自2023年1月1日（以报告签发日期为准）以来，具有CMA标识的以下产品合格的检测报告：</w:t>
            </w:r>
            <w:r>
              <w:rPr>
                <w:b w:val="0"/>
                <w:bCs w:val="0"/>
              </w:rPr>
            </w:r>
            <w:r/>
          </w:p>
          <w:p>
            <w:pPr>
              <w:pStyle w:val="959"/>
              <w:ind w:left="0"/>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1、产品：</w:t>
            </w:r>
            <w:r>
              <w:rPr>
                <w:rFonts w:hint="eastAsia" w:ascii="宋体" w:hAnsi="宋体" w:eastAsia="宋体"/>
                <w:b w:val="0"/>
                <w:bCs w:val="0"/>
                <w:color w:val="000000"/>
                <w:sz w:val="21"/>
                <w:szCs w:val="21"/>
                <w:highlight w:val="none"/>
                <w:lang w:val="en-US"/>
              </w:rPr>
              <w:t xml:space="preserve">教师演示台、</w:t>
            </w:r>
            <w:r>
              <w:rPr>
                <w:rFonts w:hint="eastAsia" w:ascii="宋体" w:hAnsi="宋体" w:eastAsia="宋体"/>
                <w:b w:val="0"/>
                <w:bCs w:val="0"/>
                <w:color w:val="000000"/>
                <w:sz w:val="21"/>
                <w:szCs w:val="21"/>
                <w:highlight w:val="none"/>
                <w:lang w:val="en-US" w:bidi="ar"/>
              </w:rPr>
              <w:t xml:space="preserve">准备台（中央台、边台）</w:t>
            </w:r>
            <w:r>
              <w:rPr>
                <w:rFonts w:hint="eastAsia" w:ascii="宋体" w:hAnsi="宋体" w:eastAsia="宋体"/>
                <w:b w:val="0"/>
                <w:bCs w:val="0"/>
                <w:color w:val="000000"/>
                <w:sz w:val="21"/>
                <w:szCs w:val="21"/>
                <w:highlight w:val="none"/>
                <w:lang w:val="en-US"/>
              </w:rPr>
              <w:t xml:space="preserve">；依据为《GB/T 3325-2024金属家具通用技术条件》</w:t>
            </w:r>
            <w:r>
              <w:rPr>
                <w:rFonts w:hint="eastAsia" w:ascii="宋体" w:hAnsi="宋体" w:eastAsia="宋体"/>
                <w:b w:val="0"/>
                <w:bCs w:val="0"/>
                <w:color w:val="000000"/>
                <w:sz w:val="21"/>
                <w:szCs w:val="21"/>
                <w:highlight w:val="none"/>
                <w:lang w:val="en-US"/>
              </w:rPr>
              <w:t xml:space="preserve">，</w:t>
            </w:r>
            <w:r>
              <w:rPr>
                <w:rFonts w:hint="eastAsia" w:ascii="宋体" w:hAnsi="宋体" w:eastAsia="宋体"/>
                <w:b w:val="0"/>
                <w:bCs w:val="0"/>
                <w:color w:val="000000"/>
                <w:sz w:val="21"/>
                <w:szCs w:val="21"/>
                <w:highlight w:val="none"/>
                <w:lang w:val="en-US"/>
              </w:rPr>
              <w:t xml:space="preserve">全部提供得1分，缺项漏项不得分。</w:t>
            </w:r>
            <w:r>
              <w:rPr>
                <w:b w:val="0"/>
                <w:bCs w:val="0"/>
              </w:rPr>
            </w:r>
            <w:r/>
          </w:p>
          <w:p>
            <w:pPr>
              <w:pStyle w:val="959"/>
              <w:ind w:left="0"/>
              <w:rPr>
                <w:rFonts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lang w:val="en-US"/>
              </w:rPr>
              <w:t xml:space="preserve">2、</w:t>
            </w:r>
            <w:r>
              <w:rPr>
                <w:rFonts w:hint="eastAsia" w:ascii="宋体" w:hAnsi="宋体" w:eastAsia="宋体"/>
                <w:b w:val="0"/>
                <w:bCs w:val="0"/>
                <w:color w:val="000000"/>
                <w:sz w:val="21"/>
                <w:szCs w:val="21"/>
                <w:highlight w:val="none"/>
                <w:lang w:val="en-US"/>
              </w:rPr>
              <w:t xml:space="preserve">仪器：提供1项得0.5分，满分1分。</w:t>
            </w:r>
            <w:r>
              <w:rPr>
                <w:b w:val="0"/>
                <w:bCs w:val="0"/>
              </w:rPr>
            </w:r>
            <w:r/>
          </w:p>
          <w:p>
            <w:pPr>
              <w:pStyle w:val="959"/>
              <w:ind w:left="0"/>
              <w:rPr>
                <w:rFonts w:hint="eastAsia" w:ascii="宋体" w:hAnsi="宋体" w:eastAsia="宋体"/>
                <w:color w:val="000000"/>
                <w:sz w:val="21"/>
                <w:szCs w:val="21"/>
                <w:highlight w:val="none"/>
              </w:rPr>
            </w:pPr>
            <w:r>
              <w:rPr>
                <w:rFonts w:hint="eastAsia" w:ascii="宋体" w:hAnsi="宋体" w:eastAsia="宋体"/>
                <w:b w:val="0"/>
                <w:bCs w:val="0"/>
                <w:color w:val="000000"/>
                <w:sz w:val="21"/>
                <w:szCs w:val="21"/>
                <w:highlight w:val="none"/>
                <w:lang w:val="en-US" w:bidi="ar"/>
              </w:rPr>
              <w:t xml:space="preserve">①</w:t>
            </w:r>
            <w:r>
              <w:rPr>
                <w:rFonts w:hint="eastAsia" w:ascii="宋体" w:hAnsi="宋体" w:eastAsia="宋体"/>
                <w:b w:val="0"/>
                <w:bCs w:val="0"/>
                <w:color w:val="000000"/>
                <w:sz w:val="21"/>
                <w:szCs w:val="21"/>
                <w:highlight w:val="none"/>
                <w:lang w:val="en-US"/>
              </w:rPr>
              <w:t xml:space="preserve">高中物理教师教学演示全套实验仪器：（包</w:t>
            </w:r>
            <w:r>
              <w:rPr>
                <w:rFonts w:hint="eastAsia" w:ascii="宋体" w:hAnsi="宋体" w:eastAsia="宋体"/>
                <w:color w:val="000000"/>
                <w:sz w:val="21"/>
                <w:szCs w:val="21"/>
                <w:highlight w:val="none"/>
                <w:lang w:val="en-US"/>
              </w:rPr>
              <w:t xml:space="preserve">含：高中物理力学、高中物理电学、高中物理电磁学、高中物理近代物理、高中物理传感器、高中物理光学演示、高中物理热学等演示仪器检测项目）。</w:t>
            </w:r>
            <w:r>
              <w:rPr>
                <w:rFonts w:hint="eastAsia" w:ascii="宋体" w:hAnsi="宋体" w:eastAsia="宋体"/>
                <w:color w:val="000000"/>
                <w:sz w:val="21"/>
                <w:szCs w:val="21"/>
                <w:highlight w:val="none"/>
              </w:rPr>
            </w:r>
            <w:r/>
          </w:p>
          <w:p>
            <w:pPr>
              <w:pStyle w:val="959"/>
              <w:ind w:left="0"/>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②高中生物学生实验多元组合仪器箱：（包含：高中生物组合（分子与细胞）、高中生物组合（遗传与进化）、高中生物组合（稳态与调节、生物与环境）、高中生物组合（生物技术与工程）等演示仪器检测项目）。</w:t>
            </w:r>
            <w:r>
              <w:rPr>
                <w:rFonts w:hint="eastAsia" w:ascii="宋体" w:hAnsi="宋体" w:eastAsia="宋体"/>
                <w:color w:val="000000"/>
                <w:sz w:val="21"/>
                <w:szCs w:val="21"/>
                <w:highlight w:val="none"/>
                <w:lang w:val="en-US"/>
              </w:rPr>
            </w:r>
            <w:r/>
          </w:p>
          <w:p>
            <w:pPr>
              <w:pStyle w:val="881"/>
              <w:rPr>
                <w:rFonts w:hint="eastAsia" w:ascii="宋体" w:hAnsi="宋体" w:cs="宋体"/>
                <w:color w:val="000000"/>
                <w:szCs w:val="21"/>
                <w:highlight w:val="none"/>
              </w:rPr>
            </w:pPr>
            <w:r>
              <w:rPr>
                <w:rFonts w:hint="eastAsia" w:ascii="宋体" w:hAnsi="宋体" w:cs="宋体"/>
                <w:color w:val="000000"/>
                <w:szCs w:val="21"/>
                <w:highlight w:val="none"/>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pacing w:val="-6"/>
                <w:szCs w:val="21"/>
                <w:highlight w:val="none"/>
              </w:rPr>
            </w:r>
            <w:r/>
          </w:p>
        </w:tc>
      </w:tr>
      <w:tr>
        <w:trPr>
          <w:trHeight w:val="889"/>
        </w:trPr>
        <w:tc>
          <w:tcPr>
            <w:tcW w:w="519" w:type="dxa"/>
            <w:vAlign w:val="center"/>
            <w:textDirection w:val="lrTb"/>
            <w:noWrap w:val="false"/>
          </w:tcPr>
          <w:p>
            <w:pPr>
              <w:pStyle w:val="881"/>
              <w:jc w:val="center"/>
              <w:spacing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1179" w:type="dxa"/>
            <w:vAlign w:val="center"/>
            <w:textDirection w:val="lrTb"/>
            <w:noWrap w:val="false"/>
          </w:tcPr>
          <w:p>
            <w:pPr>
              <w:pStyle w:val="881"/>
              <w:jc w:val="left"/>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样品</w:t>
            </w:r>
            <w:r>
              <w:rPr>
                <w:rFonts w:ascii="宋体" w:hAnsi="宋体" w:cs="宋体"/>
                <w:color w:val="000000"/>
                <w:szCs w:val="21"/>
                <w:highlight w:val="none"/>
              </w:rPr>
            </w:r>
            <w:r/>
          </w:p>
        </w:tc>
        <w:tc>
          <w:tcPr>
            <w:tcW w:w="6330" w:type="dxa"/>
            <w:vAlign w:val="center"/>
            <w:textDirection w:val="lrTb"/>
            <w:noWrap w:val="false"/>
          </w:tcPr>
          <w:p>
            <w:pPr>
              <w:rPr>
                <w:rFonts w:hint="eastAsia" w:ascii="宋体" w:hAnsi="宋体" w:cs="宋体"/>
                <w:color w:val="000000"/>
                <w:highlight w:val="none"/>
                <w14:ligatures w14:val="none"/>
              </w:rPr>
            </w:pPr>
            <w:r>
              <w:rPr>
                <w:rFonts w:hint="eastAsia" w:ascii="宋体" w:hAnsi="宋体" w:cs="宋体"/>
                <w:color w:val="000000"/>
                <w:highlight w:val="none"/>
              </w:rPr>
              <w:t xml:space="preserve">评委根据投标人</w:t>
            </w:r>
            <w:r>
              <w:rPr>
                <w:rFonts w:hint="eastAsia" w:ascii="宋体" w:hAnsi="宋体" w:cs="宋体"/>
                <w:color w:val="000000"/>
                <w:highlight w:val="none"/>
                <w:lang w:val="zh-CN"/>
              </w:rPr>
              <w:t xml:space="preserve">提供</w:t>
            </w:r>
            <w:r>
              <w:rPr>
                <w:rFonts w:hint="eastAsia" w:ascii="宋体" w:hAnsi="宋体" w:cs="宋体"/>
                <w:color w:val="000000"/>
                <w:highlight w:val="none"/>
              </w:rPr>
              <w:t xml:space="preserve">的样品（“</w:t>
            </w:r>
            <w:r>
              <w:rPr>
                <w:rFonts w:hint="eastAsia" w:ascii="宋体" w:hAnsi="宋体" w:cs="宋体"/>
                <w:color w:val="000000"/>
                <w:highlight w:val="none"/>
                <w:lang w:eastAsia="zh-CN"/>
              </w:rPr>
              <w:t xml:space="preserve">高中物理</w:t>
            </w:r>
            <w:r>
              <w:rPr>
                <w:rFonts w:hint="eastAsia" w:ascii="宋体" w:hAnsi="宋体" w:cs="宋体"/>
                <w:color w:val="000000"/>
                <w:highlight w:val="none"/>
                <w:lang w:bidi="ar"/>
              </w:rPr>
              <w:t xml:space="preserve">近代物理演示仪器</w:t>
            </w:r>
            <w:r>
              <w:rPr>
                <w:rFonts w:hint="eastAsia" w:ascii="宋体" w:hAnsi="宋体" w:cs="宋体"/>
                <w:color w:val="000000"/>
                <w:highlight w:val="none"/>
              </w:rPr>
              <w:t xml:space="preserve">”（“序号1</w:t>
            </w:r>
            <w:r>
              <w:rPr>
                <w:rFonts w:hint="eastAsia" w:ascii="宋体" w:hAnsi="宋体" w:cs="宋体"/>
                <w:color w:val="000000"/>
                <w:highlight w:val="none"/>
                <w:lang w:val="en-US" w:eastAsia="zh-CN"/>
              </w:rPr>
              <w:t xml:space="preserve">12</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及</w:t>
            </w:r>
            <w:r>
              <w:rPr>
                <w:rFonts w:hint="eastAsia" w:ascii="宋体" w:hAnsi="宋体" w:cs="宋体"/>
                <w:color w:val="000000"/>
                <w:highlight w:val="none"/>
              </w:rPr>
              <w:t xml:space="preserve">“智能生物显微镜”（“序号1</w:t>
            </w:r>
            <w:r>
              <w:rPr>
                <w:rFonts w:hint="eastAsia" w:ascii="宋体" w:hAnsi="宋体" w:cs="宋体"/>
                <w:color w:val="000000"/>
                <w:highlight w:val="none"/>
                <w:lang w:val="en-US" w:eastAsia="zh-CN"/>
              </w:rPr>
              <w:t xml:space="preserve">28</w:t>
            </w:r>
            <w:r>
              <w:rPr>
                <w:rFonts w:hint="eastAsia" w:ascii="宋体" w:hAnsi="宋体" w:cs="宋体"/>
                <w:color w:val="000000"/>
                <w:highlight w:val="none"/>
              </w:rPr>
              <w:t xml:space="preserve">”）</w:t>
            </w:r>
            <w:r>
              <w:rPr>
                <w:rFonts w:hint="eastAsia" w:ascii="宋体" w:hAnsi="宋体" w:cs="宋体"/>
                <w:color w:val="000000"/>
                <w:highlight w:val="none"/>
                <w:lang w:val="zh-CN"/>
              </w:rPr>
              <w:t xml:space="preserve">各</w:t>
            </w:r>
            <w:r>
              <w:rPr>
                <w:rFonts w:hint="eastAsia" w:ascii="宋体" w:hAnsi="宋体" w:cs="宋体"/>
                <w:color w:val="000000"/>
                <w:highlight w:val="none"/>
              </w:rPr>
              <w:t xml:space="preserve">1</w:t>
            </w:r>
            <w:r>
              <w:rPr>
                <w:rFonts w:hint="eastAsia" w:ascii="宋体" w:hAnsi="宋体" w:cs="宋体"/>
                <w:color w:val="000000"/>
                <w:highlight w:val="none"/>
                <w:lang w:val="zh-CN"/>
              </w:rPr>
              <w:t xml:space="preserve">件）</w:t>
            </w:r>
            <w:r>
              <w:rPr>
                <w:rFonts w:hint="eastAsia" w:ascii="宋体" w:hAnsi="宋体" w:cs="宋体"/>
                <w:color w:val="000000"/>
                <w:highlight w:val="none"/>
              </w:rPr>
              <w:t xml:space="preserve">综合评分：</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1</w:t>
            </w:r>
            <w:r>
              <w:rPr>
                <w:rFonts w:hint="eastAsia" w:ascii="宋体" w:hAnsi="宋体" w:cs="宋体"/>
                <w:color w:val="000000"/>
                <w:highlight w:val="none"/>
                <w:lang w:eastAsia="zh-CN"/>
              </w:rPr>
              <w:t xml:space="preserve">）</w:t>
            </w:r>
            <w:r>
              <w:rPr>
                <w:rFonts w:hint="eastAsia" w:ascii="宋体" w:hAnsi="宋体" w:cs="宋体"/>
                <w:color w:val="000000"/>
                <w:highlight w:val="none"/>
                <w:lang w:eastAsia="zh-CN"/>
              </w:rPr>
              <w:t xml:space="preserve">样品符合参数要求，工</w:t>
            </w:r>
            <w:r>
              <w:rPr>
                <w:rFonts w:hint="eastAsia" w:ascii="宋体" w:hAnsi="宋体" w:cs="宋体"/>
                <w:color w:val="000000"/>
                <w:highlight w:val="none"/>
                <w:lang w:eastAsia="zh-CN"/>
              </w:rPr>
              <w:t xml:space="preserve">艺精</w:t>
            </w:r>
            <w:r>
              <w:rPr>
                <w:rFonts w:hint="eastAsia" w:ascii="宋体" w:hAnsi="宋体" w:cs="宋体"/>
                <w:color w:val="000000"/>
                <w:highlight w:val="none"/>
                <w:lang w:eastAsia="zh-CN"/>
              </w:rPr>
              <w:t xml:space="preserve">细、外观平整，无色差、无异味；满足教学实验所需功能，操作便捷，实用性强，</w:t>
            </w:r>
            <w:r>
              <w:rPr>
                <w:rFonts w:hint="eastAsia" w:ascii="宋体" w:hAnsi="宋体" w:cs="宋体"/>
                <w:color w:val="000000"/>
                <w:highlight w:val="none"/>
              </w:rPr>
              <w:t xml:space="preserve">得5分</w:t>
            </w:r>
            <w:r>
              <w:rPr>
                <w:rFonts w:hint="eastAsia" w:ascii="宋体" w:hAnsi="宋体" w:cs="宋体"/>
                <w:color w:val="000000"/>
                <w:highlight w:val="none"/>
                <w:lang w:eastAsia="zh-CN"/>
              </w:rPr>
              <w:t xml:space="preserve">；</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rPr>
              <w:t xml:space="preserve">（2）</w:t>
            </w:r>
            <w:r>
              <w:rPr>
                <w:rFonts w:hint="eastAsia" w:ascii="宋体" w:hAnsi="宋体" w:cs="宋体"/>
                <w:color w:val="000000"/>
                <w:highlight w:val="none"/>
                <w:lang w:eastAsia="zh-CN"/>
              </w:rPr>
              <w:t xml:space="preserve">样品符合基本参数要求，外观稍平整，有轻微色差、有轻微异味；基本上能满足教学实验所需的功能，得</w:t>
            </w:r>
            <w:r>
              <w:rPr>
                <w:rFonts w:hint="eastAsia" w:ascii="宋体" w:hAnsi="宋体" w:cs="宋体"/>
                <w:color w:val="000000"/>
                <w:highlight w:val="none"/>
                <w:lang w:val="en-US" w:eastAsia="zh-CN"/>
              </w:rPr>
              <w:t xml:space="preserve">2.5分；</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rPr>
              <w:t xml:space="preserve">（3）</w:t>
            </w:r>
            <w:r>
              <w:rPr>
                <w:rFonts w:hint="eastAsia" w:ascii="宋体" w:hAnsi="宋体" w:cs="宋体"/>
                <w:color w:val="000000"/>
                <w:highlight w:val="none"/>
                <w:lang w:eastAsia="zh-CN"/>
              </w:rPr>
              <w:t xml:space="preserve">样品基本符合参数要求，色差严重，外观有毛刺，味道刺鼻，不满足教学实验的功能，</w:t>
            </w:r>
            <w:r>
              <w:rPr>
                <w:rFonts w:hint="eastAsia" w:ascii="宋体" w:hAnsi="宋体" w:cs="宋体"/>
                <w:color w:val="000000"/>
                <w:highlight w:val="none"/>
              </w:rPr>
              <w:t xml:space="preserve">得1分；</w:t>
            </w:r>
            <w:r>
              <w:rPr>
                <w:rFonts w:hint="eastAsia" w:ascii="宋体" w:hAnsi="宋体" w:cs="宋体"/>
                <w:color w:val="000000"/>
                <w:highlight w:val="none"/>
              </w:rPr>
            </w:r>
            <w:r/>
          </w:p>
          <w:p>
            <w:pPr>
              <w:rPr>
                <w:rFonts w:hint="eastAsia" w:ascii="宋体" w:hAnsi="宋体" w:cs="宋体"/>
                <w:color w:val="000000"/>
                <w:highlight w:val="none"/>
                <w14:ligatures w14:val="none"/>
              </w:rPr>
            </w:pPr>
            <w:r>
              <w:rPr>
                <w:rFonts w:hint="eastAsia" w:ascii="宋体" w:hAnsi="宋体" w:cs="宋体"/>
                <w:color w:val="000000"/>
                <w:highlight w:val="none"/>
              </w:rPr>
            </w:r>
            <w:r>
              <w:rPr>
                <w:rFonts w:hint="eastAsia" w:ascii="宋体" w:hAnsi="宋体" w:cs="宋体"/>
                <w:color w:val="000000"/>
                <w:highlight w:val="none"/>
                <w:lang w:val="zh-CN"/>
              </w:rPr>
              <w:t xml:space="preserve">投标人提供的样品不全或</w:t>
            </w:r>
            <w:r>
              <w:rPr>
                <w:rFonts w:hint="eastAsia" w:ascii="宋体" w:hAnsi="宋体" w:cs="宋体"/>
                <w:color w:val="000000"/>
                <w:highlight w:val="none"/>
              </w:rPr>
              <w:t xml:space="preserve">不符合</w:t>
            </w:r>
            <w:r>
              <w:rPr>
                <w:rFonts w:hint="eastAsia" w:ascii="宋体" w:hAnsi="宋体" w:cs="宋体"/>
                <w:color w:val="000000"/>
                <w:highlight w:val="none"/>
                <w:lang w:val="zh-CN"/>
              </w:rPr>
              <w:t xml:space="preserve">本项目评审要求</w:t>
            </w:r>
            <w:r>
              <w:rPr>
                <w:rFonts w:hint="eastAsia" w:ascii="宋体" w:hAnsi="宋体" w:cs="宋体"/>
                <w:color w:val="000000"/>
                <w:highlight w:val="none"/>
                <w:lang w:val="zh-CN"/>
              </w:rPr>
              <w:t xml:space="preserve">的不得分；未在截止时间前及规定地点提交样品的不得分</w:t>
            </w:r>
            <w:r>
              <w:rPr>
                <w:rFonts w:hint="eastAsia" w:ascii="宋体" w:hAnsi="宋体" w:cs="宋体"/>
                <w:color w:val="000000"/>
                <w:highlight w:val="none"/>
                <w:lang w:val="zh-CN" w:bidi="zh-CN"/>
              </w:rPr>
              <w:t xml:space="preserve">。</w:t>
            </w:r>
            <w:r>
              <w:rPr>
                <w:rFonts w:hint="eastAsia" w:ascii="宋体" w:hAnsi="宋体" w:cs="宋体"/>
                <w:color w:val="000000"/>
                <w:highlight w:val="none"/>
              </w:rPr>
            </w:r>
            <w:r/>
          </w:p>
        </w:tc>
        <w:tc>
          <w:tcPr>
            <w:tcW w:w="647"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主观分</w:t>
            </w:r>
            <w:r>
              <w:rPr>
                <w:rFonts w:hint="eastAsia" w:ascii="宋体" w:hAnsi="宋体" w:cs="宋体"/>
                <w:color w:val="000000"/>
                <w:szCs w:val="21"/>
                <w:highlight w:val="none"/>
              </w:rPr>
            </w:r>
            <w:r/>
          </w:p>
        </w:tc>
      </w:tr>
      <w:tr>
        <w:trPr>
          <w:trHeight w:val="889"/>
        </w:trPr>
        <w:tc>
          <w:tcPr>
            <w:tcW w:w="519" w:type="dxa"/>
            <w:vAlign w:val="center"/>
            <w:textDirection w:val="lrTb"/>
            <w:noWrap w:val="false"/>
          </w:tcPr>
          <w:p>
            <w:pPr>
              <w:pStyle w:val="881"/>
              <w:jc w:val="center"/>
              <w:spacing w:before="68" w:line="264" w:lineRule="auto"/>
              <w:rPr>
                <w:rFonts w:hint="eastAsia" w:ascii="宋体" w:hAnsi="宋体" w:eastAsia="宋体" w:cs="宋体"/>
                <w:color w:val="000000"/>
                <w:spacing w:val="-2"/>
                <w:szCs w:val="21"/>
                <w:highlight w:val="none"/>
                <w:lang w:eastAsia="zh-CN"/>
              </w:rPr>
            </w:pPr>
            <w:r>
              <w:rPr>
                <w:rFonts w:hint="eastAsia" w:ascii="宋体" w:hAnsi="宋体" w:cs="宋体"/>
                <w:color w:val="000000"/>
                <w:spacing w:val="-2"/>
                <w:szCs w:val="21"/>
                <w:highlight w:val="none"/>
              </w:rPr>
              <w:t xml:space="preserve">2.</w:t>
            </w:r>
            <w:r>
              <w:rPr>
                <w:rFonts w:hint="eastAsia" w:ascii="宋体" w:hAnsi="宋体" w:cs="宋体"/>
                <w:color w:val="000000"/>
                <w:spacing w:val="-2"/>
                <w:szCs w:val="21"/>
                <w:highlight w:val="none"/>
                <w:lang w:val="en-US" w:eastAsia="zh-CN"/>
              </w:rPr>
              <w:t xml:space="preserve">6</w:t>
            </w:r>
            <w:r>
              <w:rPr>
                <w:rFonts w:hint="eastAsia" w:ascii="宋体" w:hAnsi="宋体" w:eastAsia="宋体" w:cs="宋体"/>
                <w:color w:val="000000"/>
                <w:spacing w:val="-2"/>
                <w:szCs w:val="21"/>
                <w:highlight w:val="none"/>
                <w:lang w:eastAsia="zh-CN"/>
              </w:rPr>
            </w:r>
            <w:r/>
          </w:p>
        </w:tc>
        <w:tc>
          <w:tcPr>
            <w:tcW w:w="1179" w:type="dxa"/>
            <w:vAlign w:val="center"/>
            <w:textDirection w:val="lrTb"/>
            <w:noWrap w:val="false"/>
          </w:tcPr>
          <w:p>
            <w:pPr>
              <w:pStyle w:val="881"/>
              <w:jc w:val="left"/>
              <w:spacing w:before="68" w:line="264" w:lineRule="auto"/>
              <w:rPr>
                <w:rFonts w:hint="eastAsia" w:ascii="宋体" w:hAnsi="宋体" w:cs="宋体"/>
                <w:color w:val="000000"/>
                <w:spacing w:val="-2"/>
                <w:szCs w:val="21"/>
                <w:highlight w:val="none"/>
              </w:rPr>
            </w:pPr>
            <w:r>
              <w:rPr>
                <w:rFonts w:hint="eastAsia" w:ascii="宋体" w:hAnsi="宋体" w:cs="宋体"/>
                <w:color w:val="000000"/>
                <w:szCs w:val="21"/>
                <w:highlight w:val="none"/>
              </w:rPr>
              <w:t xml:space="preserve">视频演示</w:t>
            </w:r>
            <w:r>
              <w:rPr>
                <w:rFonts w:hint="eastAsia" w:ascii="宋体" w:hAnsi="宋体" w:cs="宋体"/>
                <w:color w:val="000000"/>
                <w:spacing w:val="-2"/>
                <w:szCs w:val="21"/>
                <w:highlight w:val="none"/>
              </w:rPr>
            </w:r>
            <w:r/>
          </w:p>
        </w:tc>
        <w:tc>
          <w:tcPr>
            <w:tcW w:w="6330" w:type="dxa"/>
            <w:vAlign w:val="center"/>
            <w:textDirection w:val="lrTb"/>
            <w:noWrap w:val="false"/>
          </w:tcPr>
          <w:p>
            <w:pPr>
              <w:jc w:val="left"/>
              <w:rPr>
                <w:rFonts w:hint="eastAsia" w:ascii="宋体" w:hAnsi="宋体" w:cs="宋体"/>
                <w:color w:val="000000"/>
                <w:highlight w:val="none"/>
                <w14:ligatures w14:val="none"/>
              </w:rPr>
            </w:pPr>
            <w:r>
              <w:rPr>
                <w:rFonts w:hint="eastAsia" w:ascii="宋体" w:hAnsi="宋体" w:cs="宋体"/>
                <w:color w:val="000000"/>
                <w:highlight w:val="none"/>
                <w:lang w:bidi="ar"/>
              </w:rPr>
              <w:t xml:space="preserve">评委根据投标人提供的以下产品视频演示情况综合评分（每位投标人视频时长总计不超过15分钟）。</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演示一、以“高中电学测绘小灯泡伏安特性曲线”实验为例；演示实验教学管理系统平台软件功能。成功演示全部内容</w:t>
            </w:r>
            <w:r>
              <w:rPr>
                <w:rFonts w:hint="eastAsia" w:ascii="宋体" w:hAnsi="宋体" w:cs="宋体"/>
                <w:color w:val="000000"/>
                <w:highlight w:val="none"/>
              </w:rPr>
              <w:t xml:space="preserve">得2.5分</w:t>
            </w:r>
            <w:r>
              <w:rPr>
                <w:rFonts w:hint="eastAsia" w:ascii="宋体" w:hAnsi="宋体" w:cs="宋体"/>
                <w:color w:val="000000"/>
                <w:highlight w:val="none"/>
              </w:rPr>
              <w:t xml:space="preserve">，缺项或未提供演示的不得分。</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演示要求：</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①实验数据云存储；</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②系统后台管理；</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③实验教学资源（包含实验动画、视频等）的发布及教学应用管理；</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④电子实验报告的制作、审核与派发管理；</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⑤学生实验报告提交管理；</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6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⑥</w:t>
            </w:r>
            <w:r>
              <w:rPr>
                <w:rFonts w:hint="eastAsia" w:ascii="宋体" w:hAnsi="宋体" w:cs="宋体"/>
                <w:color w:val="000000"/>
                <w:highlight w:val="none"/>
              </w:rPr>
              <w:fldChar w:fldCharType="end"/>
            </w:r>
            <w:r>
              <w:rPr>
                <w:rFonts w:hint="eastAsia" w:ascii="宋体" w:hAnsi="宋体" w:cs="宋体"/>
                <w:color w:val="000000"/>
                <w:highlight w:val="none"/>
              </w:rPr>
              <w:t xml:space="preserve">支持通过视频完成对学生实验操作过程评价；</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7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⑦</w:t>
            </w:r>
            <w:r>
              <w:rPr>
                <w:rFonts w:hint="eastAsia" w:ascii="宋体" w:hAnsi="宋体" w:cs="宋体"/>
                <w:color w:val="000000"/>
                <w:highlight w:val="none"/>
              </w:rPr>
              <w:fldChar w:fldCharType="end"/>
            </w:r>
            <w:r>
              <w:rPr>
                <w:rFonts w:hint="eastAsia" w:ascii="宋体" w:hAnsi="宋体" w:cs="宋体"/>
                <w:color w:val="000000"/>
                <w:highlight w:val="none"/>
              </w:rPr>
              <w:t xml:space="preserve">支持真实测量数据实时显示，完成对学生数据结论的评价；</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软件平台中的视频记录能够清晰反映实验仪器测量数据，读数结果不受器材空间位置的影响，无需对摄像头角度、位置进行调整。演示实例要求可以通过视频实时查看该实验中电压表、电流表的实时读数，方便老师进行评价参考。</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8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⑧</w:t>
            </w:r>
            <w:r>
              <w:rPr>
                <w:rFonts w:hint="eastAsia" w:ascii="宋体" w:hAnsi="宋体" w:cs="宋体"/>
                <w:color w:val="000000"/>
                <w:highlight w:val="none"/>
              </w:rPr>
              <w:fldChar w:fldCharType="end"/>
            </w:r>
            <w:r>
              <w:rPr>
                <w:rFonts w:hint="eastAsia" w:ascii="宋体" w:hAnsi="宋体" w:cs="宋体"/>
                <w:color w:val="000000"/>
                <w:highlight w:val="none"/>
              </w:rPr>
              <w:t xml:space="preserve">实验成绩复核及争议消除机制；</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9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⑨</w:t>
            </w:r>
            <w:r>
              <w:rPr>
                <w:rFonts w:hint="eastAsia" w:ascii="宋体" w:hAnsi="宋体" w:cs="宋体"/>
                <w:color w:val="000000"/>
                <w:highlight w:val="none"/>
              </w:rPr>
              <w:fldChar w:fldCharType="end"/>
            </w:r>
            <w:r>
              <w:rPr>
                <w:rFonts w:hint="eastAsia" w:ascii="宋体" w:hAnsi="宋体" w:cs="宋体"/>
                <w:color w:val="000000"/>
                <w:highlight w:val="none"/>
              </w:rPr>
              <w:t xml:space="preserve">实验错误点的统计分析管理等。</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 10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⑩</w:t>
            </w:r>
            <w:r>
              <w:rPr>
                <w:rFonts w:hint="eastAsia" w:ascii="宋体" w:hAnsi="宋体" w:cs="宋体"/>
                <w:color w:val="000000"/>
                <w:highlight w:val="none"/>
              </w:rPr>
              <w:fldChar w:fldCharType="end"/>
            </w:r>
            <w:r>
              <w:rPr>
                <w:rFonts w:hint="eastAsia" w:ascii="宋体" w:hAnsi="宋体" w:cs="宋体"/>
                <w:color w:val="000000"/>
                <w:highlight w:val="none"/>
              </w:rPr>
              <w:t xml:space="preserve">支持无缝升级为AI智能评分系统。</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演示二、</w:t>
            </w:r>
            <w:r>
              <w:rPr>
                <w:rFonts w:hint="eastAsia" w:ascii="宋体" w:hAnsi="宋体" w:cs="宋体"/>
                <w:color w:val="000000"/>
                <w:highlight w:val="none"/>
                <w:lang w:bidi="ar"/>
              </w:rPr>
              <w:t xml:space="preserve">实验名称：探究加速度与力、质量的关系</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lang w:bidi="ar"/>
              </w:rPr>
              <w:t xml:space="preserve">实物视频演示里面的仪器样式、外观、性能须与采购清单中“高中物理力学演示仪器”技术参数一致。</w:t>
            </w:r>
            <w:r>
              <w:rPr>
                <w:rFonts w:hint="eastAsia" w:ascii="宋体" w:hAnsi="宋体" w:cs="宋体"/>
                <w:color w:val="000000"/>
                <w:highlight w:val="none"/>
              </w:rPr>
              <w:t xml:space="preserve">成功演示全部内容</w:t>
            </w:r>
            <w:r>
              <w:rPr>
                <w:rFonts w:hint="eastAsia" w:ascii="宋体" w:hAnsi="宋体" w:cs="宋体"/>
                <w:color w:val="000000"/>
                <w:highlight w:val="none"/>
              </w:rPr>
              <w:t xml:space="preserve">得2.5分</w:t>
            </w:r>
            <w:r>
              <w:rPr>
                <w:rFonts w:hint="eastAsia" w:ascii="宋体" w:hAnsi="宋体" w:cs="宋体"/>
                <w:color w:val="000000"/>
                <w:highlight w:val="none"/>
              </w:rPr>
              <w:t xml:space="preserve">，缺项或未提供演示的不得分。</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lang w:bidi="ar"/>
              </w:rPr>
              <w:t xml:space="preserve">演示要求：</w:t>
            </w:r>
            <w:r>
              <w:rPr>
                <w:rFonts w:hint="eastAsia" w:ascii="宋体" w:hAnsi="宋体" w:cs="宋体"/>
                <w:color w:val="000000"/>
                <w:highlight w:val="none"/>
                <w:lang w:bidi="ar"/>
              </w:rPr>
              <w:br w:type="textWrapping" w:clear="all"/>
            </w:r>
            <w:r>
              <w:rPr>
                <w:rFonts w:hint="eastAsia" w:ascii="宋体" w:hAnsi="宋体" w:cs="宋体"/>
                <w:color w:val="000000"/>
                <w:highlight w:val="none"/>
              </w:rPr>
              <w:t xml:space="preserve">①</w:t>
            </w:r>
            <w:r>
              <w:rPr>
                <w:rFonts w:hint="eastAsia" w:ascii="宋体" w:hAnsi="宋体" w:cs="宋体"/>
                <w:color w:val="000000"/>
                <w:highlight w:val="none"/>
                <w:lang w:bidi="ar"/>
              </w:rPr>
              <w:t xml:space="preserve">搭建力学轨道（特点：1.轨道采用铝合金一体成型，轨道面采用双凹滑行槽设计，使小车车轮与轨道接触面减少，降低摩擦力，有效减少系统误差 2.轨道配套附件丰富，自带双色读数刻度尺，可方便读取小车的位移，配套有可移动式防撞夹及小车释放器，让实验操作更加方便安全）。</w:t>
            </w:r>
            <w:r>
              <w:rPr>
                <w:rFonts w:hint="eastAsia" w:ascii="宋体" w:hAnsi="宋体" w:cs="宋体"/>
                <w:color w:val="000000"/>
                <w:highlight w:val="none"/>
                <w:lang w:bidi="ar"/>
              </w:rPr>
              <w:br w:type="textWrapping" w:clear="all"/>
            </w:r>
            <w:r>
              <w:rPr>
                <w:rFonts w:hint="eastAsia" w:ascii="宋体" w:hAnsi="宋体" w:cs="宋体"/>
                <w:color w:val="000000"/>
                <w:highlight w:val="none"/>
              </w:rPr>
              <w:t xml:space="preserve">②</w:t>
            </w:r>
            <w:r>
              <w:rPr>
                <w:rFonts w:hint="eastAsia" w:ascii="宋体" w:hAnsi="宋体" w:cs="宋体"/>
                <w:color w:val="000000"/>
                <w:highlight w:val="none"/>
                <w:lang w:bidi="ar"/>
              </w:rPr>
              <w:t xml:space="preserve">将实验小车放置在力学轨道上（特点：实验小车车轮采用内嵌轴承设计，有效降低自身摩擦力，确保了车轮的转动顺畅）。</w:t>
            </w:r>
            <w:r>
              <w:rPr>
                <w:rFonts w:hint="eastAsia" w:ascii="宋体" w:hAnsi="宋体" w:cs="宋体"/>
                <w:color w:val="000000"/>
                <w:highlight w:val="none"/>
                <w:lang w:bidi="ar"/>
              </w:rPr>
              <w:br w:type="textWrapping" w:clear="all"/>
            </w:r>
            <w:r>
              <w:rPr>
                <w:rFonts w:hint="eastAsia" w:ascii="宋体" w:hAnsi="宋体" w:cs="宋体"/>
                <w:color w:val="000000"/>
                <w:highlight w:val="none"/>
              </w:rPr>
              <w:t xml:space="preserve">③</w:t>
            </w:r>
            <w:r>
              <w:rPr>
                <w:rFonts w:hint="eastAsia" w:ascii="宋体" w:hAnsi="宋体" w:cs="宋体"/>
                <w:color w:val="000000"/>
                <w:highlight w:val="none"/>
                <w:lang w:bidi="ar"/>
              </w:rPr>
              <w:t xml:space="preserve">小车端部固定上纸带夹，打点计时器固定在轨道端部仪器托盘上，纸带夹上固定上一条纸带，纸带穿过打点计时器。</w:t>
            </w:r>
            <w:r>
              <w:rPr>
                <w:rFonts w:hint="eastAsia" w:ascii="宋体" w:hAnsi="宋体" w:cs="宋体"/>
                <w:color w:val="000000"/>
                <w:highlight w:val="none"/>
                <w:lang w:bidi="ar"/>
              </w:rPr>
              <w:br w:type="textWrapping" w:clear="all"/>
            </w:r>
            <w:r>
              <w:rPr>
                <w:rFonts w:hint="eastAsia" w:ascii="宋体" w:hAnsi="宋体" w:cs="宋体"/>
                <w:color w:val="000000"/>
                <w:highlight w:val="none"/>
              </w:rPr>
              <w:t xml:space="preserve">④</w:t>
            </w:r>
            <w:r>
              <w:rPr>
                <w:rFonts w:hint="eastAsia" w:ascii="宋体" w:hAnsi="宋体" w:cs="宋体"/>
                <w:color w:val="000000"/>
                <w:highlight w:val="none"/>
                <w:lang w:bidi="ar"/>
              </w:rPr>
              <w:t xml:space="preserve">把轨道的一侧升高，以补偿打点计时器对小车的阻力：调节轨道的倾斜程度，使小车在不受牵引时刚好能拖动纸带沿轨道匀速下滑。</w:t>
            </w:r>
            <w:r>
              <w:rPr>
                <w:rFonts w:hint="eastAsia" w:ascii="宋体" w:hAnsi="宋体" w:cs="宋体"/>
                <w:color w:val="000000"/>
                <w:highlight w:val="none"/>
                <w:lang w:bidi="ar"/>
              </w:rPr>
              <w:br w:type="textWrapping" w:clear="all"/>
            </w:r>
            <w:r>
              <w:rPr>
                <w:rFonts w:hint="eastAsia" w:ascii="宋体" w:hAnsi="宋体" w:cs="宋体"/>
                <w:color w:val="000000"/>
                <w:highlight w:val="none"/>
              </w:rPr>
              <w:t xml:space="preserve">⑤</w:t>
            </w:r>
            <w:r>
              <w:rPr>
                <w:rFonts w:hint="eastAsia" w:ascii="宋体" w:hAnsi="宋体" w:cs="宋体"/>
                <w:color w:val="000000"/>
                <w:highlight w:val="none"/>
                <w:lang w:bidi="ar"/>
              </w:rPr>
              <w:t xml:space="preserve">测量小车的质量和砝码桶的重力（砝码桶的重力作为对小车的拉力 F）。</w:t>
            </w:r>
            <w:r>
              <w:rPr>
                <w:rFonts w:hint="eastAsia" w:ascii="宋体" w:hAnsi="宋体" w:cs="宋体"/>
                <w:color w:val="000000"/>
                <w:highlight w:val="none"/>
                <w:lang w:bidi="ar"/>
              </w:rPr>
              <w:br w:type="textWrapping" w:clear="all"/>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 6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⑥</w:t>
            </w:r>
            <w:r>
              <w:rPr>
                <w:rFonts w:hint="eastAsia" w:ascii="宋体" w:hAnsi="宋体" w:cs="宋体"/>
                <w:color w:val="000000"/>
                <w:highlight w:val="none"/>
              </w:rPr>
              <w:fldChar w:fldCharType="end"/>
            </w:r>
            <w:r>
              <w:rPr>
                <w:rFonts w:hint="eastAsia" w:ascii="宋体" w:hAnsi="宋体" w:cs="宋体"/>
                <w:color w:val="000000"/>
                <w:highlight w:val="none"/>
                <w:lang w:bidi="ar"/>
              </w:rPr>
              <w:t xml:space="preserve">将砝码桶通过细线连接小车。启动打点计时器数秒后释放小车，然后通过纸带测出小车的加速度，记录数据。保持小车质量不变，改变砝码桶质量，再重复4次实验。</w:t>
            </w:r>
            <w:r>
              <w:rPr>
                <w:rFonts w:hint="eastAsia" w:ascii="宋体" w:hAnsi="宋体" w:cs="宋体"/>
                <w:color w:val="000000"/>
                <w:highlight w:val="none"/>
                <w:lang w:bidi="ar"/>
              </w:rPr>
              <w:br w:type="textWrapping" w:clear="all"/>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 7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⑦</w:t>
            </w:r>
            <w:r>
              <w:rPr>
                <w:rFonts w:hint="eastAsia" w:ascii="宋体" w:hAnsi="宋体" w:cs="宋体"/>
                <w:color w:val="000000"/>
                <w:highlight w:val="none"/>
              </w:rPr>
              <w:fldChar w:fldCharType="end"/>
            </w:r>
            <w:r>
              <w:rPr>
                <w:rFonts w:hint="eastAsia" w:ascii="宋体" w:hAnsi="宋体" w:cs="宋体"/>
                <w:color w:val="000000"/>
                <w:highlight w:val="none"/>
                <w:lang w:bidi="ar"/>
              </w:rPr>
              <w:t xml:space="preserve">保持小车所挂砝码桶质量不变，改变小车质量，通过纸带测出小车的加速度。再重复实验 4 次，记录数据。</w:t>
            </w:r>
            <w:r>
              <w:rPr>
                <w:rFonts w:hint="eastAsia" w:ascii="宋体" w:hAnsi="宋体" w:cs="宋体"/>
                <w:color w:val="000000"/>
                <w:highlight w:val="none"/>
                <w:lang w:bidi="ar"/>
              </w:rPr>
              <w:br w:type="textWrapping" w:clear="all"/>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 8 \* GB3 \* MERGEFORMAT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⑧</w:t>
            </w:r>
            <w:r>
              <w:rPr>
                <w:rFonts w:hint="eastAsia" w:ascii="宋体" w:hAnsi="宋体" w:cs="宋体"/>
                <w:color w:val="000000"/>
                <w:highlight w:val="none"/>
              </w:rPr>
              <w:fldChar w:fldCharType="end"/>
            </w:r>
            <w:r>
              <w:rPr>
                <w:rFonts w:hint="eastAsia" w:ascii="宋体" w:hAnsi="宋体" w:cs="宋体"/>
                <w:color w:val="000000"/>
                <w:highlight w:val="none"/>
                <w:lang w:bidi="ar"/>
              </w:rPr>
              <w:t xml:space="preserve">分析实验数据，得出实验结论。</w:t>
            </w:r>
            <w:r>
              <w:rPr>
                <w:rFonts w:hint="eastAsia" w:ascii="宋体" w:hAnsi="宋体" w:cs="宋体"/>
                <w:color w:val="000000"/>
                <w:highlight w:val="none"/>
              </w:rPr>
            </w:r>
            <w:r/>
          </w:p>
          <w:p>
            <w:pPr>
              <w:jc w:val="left"/>
              <w:rPr>
                <w:rFonts w:hint="eastAsia" w:ascii="宋体" w:hAnsi="宋体" w:cs="宋体"/>
                <w:color w:val="000000"/>
                <w:highlight w:val="none"/>
                <w14:ligatures w14:val="none"/>
              </w:rPr>
            </w:pPr>
            <w:r>
              <w:rPr>
                <w:rFonts w:hint="eastAsia" w:ascii="宋体" w:hAnsi="宋体" w:cs="宋体"/>
                <w:color w:val="000000"/>
                <w:highlight w:val="none"/>
              </w:rPr>
              <w:t xml:space="preserve">投标人未提供视频文件或因投标人自身原因视频文件无法打开或视频画面不清晰无法辨认的不得分。</w:t>
            </w:r>
            <w:r>
              <w:rPr>
                <w:rFonts w:hint="eastAsia" w:ascii="宋体" w:hAnsi="宋体" w:cs="宋体"/>
                <w:color w:val="000000"/>
                <w:highlight w:val="none"/>
              </w:rPr>
            </w:r>
            <w:r/>
          </w:p>
        </w:tc>
        <w:tc>
          <w:tcPr>
            <w:tcW w:w="647"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主观分</w:t>
            </w:r>
            <w:r>
              <w:rPr>
                <w:rFonts w:hint="eastAsia" w:ascii="宋体" w:hAnsi="宋体" w:cs="宋体"/>
                <w:color w:val="000000"/>
                <w:spacing w:val="-6"/>
                <w:szCs w:val="21"/>
                <w:highlight w:val="none"/>
              </w:rPr>
            </w:r>
            <w:r/>
          </w:p>
        </w:tc>
      </w:tr>
      <w:tr>
        <w:trPr>
          <w:trHeight w:val="472"/>
        </w:trPr>
        <w:tc>
          <w:tcPr>
            <w:gridSpan w:val="5"/>
            <w:tcW w:w="9575" w:type="dxa"/>
            <w:vAlign w:val="center"/>
            <w:textDirection w:val="lrTb"/>
            <w:noWrap w:val="false"/>
          </w:tcPr>
          <w:p>
            <w:pPr>
              <w:pStyle w:val="881"/>
              <w:spacing w:before="68" w:line="264" w:lineRule="auto"/>
              <w:rPr>
                <w:rFonts w:hint="eastAsia" w:ascii="宋体" w:hAnsi="宋体" w:cs="宋体"/>
                <w:color w:val="000000"/>
                <w:szCs w:val="21"/>
                <w:highlight w:val="none"/>
              </w:rPr>
            </w:pPr>
            <w:r>
              <w:rPr>
                <w:rFonts w:hint="eastAsia" w:ascii="宋体" w:hAnsi="宋体" w:cs="宋体"/>
                <w:b/>
                <w:bCs/>
                <w:color w:val="000000"/>
                <w:spacing w:val="-3"/>
                <w:szCs w:val="21"/>
                <w:highlight w:val="none"/>
              </w:rPr>
              <w:t xml:space="preserve">3.服务</w:t>
            </w:r>
            <w:r>
              <w:rPr>
                <w:rFonts w:hint="eastAsia" w:ascii="宋体" w:hAnsi="宋体" w:cs="宋体"/>
                <w:color w:val="000000"/>
                <w:szCs w:val="21"/>
                <w:highlight w:val="none"/>
              </w:rPr>
            </w:r>
            <w:r/>
          </w:p>
        </w:tc>
      </w:tr>
      <w:tr>
        <w:trPr>
          <w:trHeight w:val="1083"/>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3.1</w:t>
            </w:r>
            <w:r>
              <w:rPr>
                <w:rFonts w:hint="eastAsia" w:ascii="宋体" w:hAnsi="宋体" w:cs="宋体"/>
                <w:color w:val="000000"/>
                <w:spacing w:val="-2"/>
                <w:szCs w:val="21"/>
                <w:highlight w:val="none"/>
              </w:rPr>
            </w:r>
            <w:r/>
          </w:p>
        </w:tc>
        <w:tc>
          <w:tcPr>
            <w:tcW w:w="1179" w:type="dxa"/>
            <w:vAlign w:val="center"/>
            <w:textDirection w:val="lrTb"/>
            <w:noWrap w:val="false"/>
          </w:tcPr>
          <w:p>
            <w:pPr>
              <w:pStyle w:val="881"/>
              <w:jc w:val="left"/>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实施方案</w:t>
            </w:r>
            <w:r>
              <w:rPr>
                <w:rFonts w:hint="eastAsia" w:ascii="宋体" w:hAnsi="宋体" w:cs="宋体"/>
                <w:color w:val="000000"/>
                <w:szCs w:val="21"/>
                <w:highlight w:val="none"/>
              </w:rPr>
            </w:r>
            <w:r/>
          </w:p>
        </w:tc>
        <w:tc>
          <w:tcPr>
            <w:tcW w:w="6330" w:type="dxa"/>
            <w:vAlign w:val="center"/>
            <w:textDirection w:val="lrTb"/>
            <w:noWrap w:val="false"/>
          </w:tcPr>
          <w:p>
            <w:pPr>
              <w:pStyle w:val="881"/>
              <w:jc w:val="left"/>
              <w:spacing w:line="264" w:lineRule="auto"/>
              <w:rPr>
                <w:rFonts w:ascii="宋体" w:hAnsi="宋体" w:cs="宋体"/>
                <w:color w:val="000000"/>
                <w:highlight w:val="none"/>
                <w:lang w:val="zh-CN"/>
              </w:rPr>
            </w:pPr>
            <w:r>
              <w:rPr>
                <w:rFonts w:hint="eastAsia" w:ascii="宋体" w:hAnsi="宋体" w:cs="宋体"/>
                <w:color w:val="000000"/>
                <w:szCs w:val="21"/>
                <w:highlight w:val="none"/>
                <w:lang w:val="zh-CN"/>
              </w:rPr>
              <w:t xml:space="preserve">评委根据投标人提供的项目实施方案</w:t>
            </w:r>
            <w:r>
              <w:rPr>
                <w:rFonts w:hint="eastAsia" w:ascii="宋体" w:hAnsi="宋体" w:cs="宋体"/>
                <w:color w:val="000000"/>
                <w:szCs w:val="21"/>
                <w:highlight w:val="none"/>
              </w:rPr>
              <w:t xml:space="preserve">综合评分（每项内容逐条阐述）</w:t>
            </w:r>
            <w:r>
              <w:rPr>
                <w:rFonts w:hint="eastAsia" w:ascii="宋体" w:hAnsi="宋体" w:cs="宋体"/>
                <w:color w:val="000000"/>
                <w:szCs w:val="21"/>
                <w:highlight w:val="none"/>
              </w:rPr>
              <w:t xml:space="preserve">，</w:t>
            </w:r>
            <w:r>
              <w:rPr>
                <w:rFonts w:ascii="宋体" w:hAnsi="宋体" w:cs="宋体"/>
                <w:color w:val="000000"/>
                <w:highlight w:val="none"/>
                <w:lang w:val="zh-CN"/>
              </w:rPr>
              <w:t xml:space="preserve">包括</w:t>
            </w:r>
            <w:r>
              <w:rPr>
                <w:rFonts w:hint="eastAsia" w:ascii="宋体" w:hAnsi="宋体" w:cs="宋体"/>
                <w:color w:val="000000"/>
                <w:highlight w:val="none"/>
                <w:lang w:val="zh-CN"/>
              </w:rPr>
              <w:t xml:space="preserve">：</w:t>
            </w:r>
            <w:r>
              <w:rPr>
                <w:rFonts w:hint="eastAsia" w:ascii="宋体" w:hAnsi="宋体" w:cs="宋体"/>
                <w:color w:val="000000"/>
                <w:highlight w:val="none"/>
              </w:rPr>
              <w:t xml:space="preserve">1.</w:t>
            </w:r>
            <w:r>
              <w:rPr>
                <w:rFonts w:ascii="宋体" w:hAnsi="宋体" w:cs="宋体"/>
                <w:color w:val="000000"/>
                <w:highlight w:val="none"/>
                <w:lang w:val="zh-CN"/>
              </w:rPr>
              <w:t xml:space="preserve">施工组织计划及人员配置</w:t>
            </w:r>
            <w:r>
              <w:rPr>
                <w:rFonts w:hint="eastAsia" w:ascii="宋体" w:hAnsi="宋体" w:cs="宋体"/>
                <w:color w:val="000000"/>
                <w:highlight w:val="none"/>
              </w:rPr>
              <w:t xml:space="preserve">；2.</w:t>
            </w:r>
            <w:r>
              <w:rPr>
                <w:rFonts w:ascii="宋体" w:hAnsi="宋体" w:cs="宋体"/>
                <w:color w:val="000000"/>
                <w:highlight w:val="none"/>
                <w:lang w:val="zh-CN"/>
              </w:rPr>
              <w:t xml:space="preserve">设备制造、供货、安装、调试、验收等全过程实施方案</w:t>
            </w:r>
            <w:r>
              <w:rPr>
                <w:rFonts w:hint="eastAsia" w:ascii="宋体" w:hAnsi="宋体" w:cs="宋体"/>
                <w:color w:val="000000"/>
                <w:highlight w:val="none"/>
                <w:lang w:val="zh-CN"/>
              </w:rPr>
              <w:t xml:space="preserve">；</w:t>
            </w:r>
            <w:r>
              <w:rPr>
                <w:rFonts w:hint="eastAsia" w:ascii="宋体" w:hAnsi="宋体" w:cs="宋体"/>
                <w:color w:val="000000"/>
                <w:highlight w:val="none"/>
              </w:rPr>
              <w:t xml:space="preserve">3.</w:t>
            </w:r>
            <w:r>
              <w:rPr>
                <w:rFonts w:ascii="宋体" w:hAnsi="宋体" w:cs="宋体"/>
                <w:color w:val="000000"/>
                <w:highlight w:val="none"/>
                <w:lang w:val="zh-CN"/>
              </w:rPr>
              <w:t xml:space="preserve">质量及进度保证措施。 </w:t>
            </w:r>
            <w:r>
              <w:rPr>
                <w:rFonts w:ascii="宋体" w:hAnsi="宋体" w:cs="宋体"/>
                <w:color w:val="000000"/>
                <w:highlight w:val="none"/>
                <w:lang w:val="zh-CN"/>
              </w:rPr>
            </w:r>
            <w:r/>
          </w:p>
          <w:p>
            <w:pPr>
              <w:pStyle w:val="1000"/>
              <w:rPr>
                <w:color w:val="000000"/>
                <w:sz w:val="21"/>
                <w:szCs w:val="21"/>
                <w:highlight w:val="none"/>
                <w:lang w:val="en-US" w:bidi="ar-SA"/>
              </w:rPr>
            </w:pPr>
            <w:r>
              <w:rPr>
                <w:rFonts w:hint="eastAsia"/>
                <w:color w:val="000000"/>
                <w:sz w:val="21"/>
                <w:szCs w:val="21"/>
                <w:highlight w:val="none"/>
                <w:lang w:val="en-US" w:bidi="ar-SA"/>
              </w:rPr>
              <w:t xml:space="preserve">（1）上述每项内容详细、科学合理、可行性强的，得2分； </w:t>
            </w:r>
            <w:r>
              <w:rPr>
                <w:color w:val="000000"/>
                <w:sz w:val="21"/>
                <w:szCs w:val="21"/>
                <w:highlight w:val="none"/>
                <w:lang w:val="en-US" w:bidi="ar-SA"/>
              </w:rPr>
            </w:r>
            <w:r/>
          </w:p>
          <w:p>
            <w:pPr>
              <w:pStyle w:val="1000"/>
              <w:rPr>
                <w:color w:val="000000"/>
                <w:sz w:val="21"/>
                <w:szCs w:val="21"/>
                <w:highlight w:val="none"/>
                <w:lang w:val="en-US" w:bidi="ar-SA"/>
              </w:rPr>
            </w:pPr>
            <w:r>
              <w:rPr>
                <w:rFonts w:hint="eastAsia"/>
                <w:color w:val="000000"/>
                <w:sz w:val="21"/>
                <w:szCs w:val="21"/>
                <w:highlight w:val="none"/>
                <w:lang w:val="en-US" w:bidi="ar-SA"/>
              </w:rPr>
              <w:t xml:space="preserve">（2）上述每项内容较详细、较科学合理、可行性较强的，得1分，</w:t>
            </w:r>
            <w:r>
              <w:rPr>
                <w:color w:val="000000"/>
                <w:sz w:val="21"/>
                <w:szCs w:val="21"/>
                <w:highlight w:val="none"/>
                <w:lang w:val="en-US" w:bidi="ar-SA"/>
              </w:rPr>
            </w:r>
            <w:r/>
          </w:p>
          <w:p>
            <w:pPr>
              <w:pStyle w:val="1000"/>
              <w:spacing w:line="264" w:lineRule="auto"/>
              <w:rPr>
                <w:rFonts w:hint="eastAsia"/>
                <w:color w:val="000000"/>
                <w:sz w:val="21"/>
                <w:szCs w:val="21"/>
                <w:highlight w:val="none"/>
                <w:lang w:bidi="ar-SA"/>
              </w:rPr>
            </w:pPr>
            <w:r>
              <w:rPr>
                <w:rFonts w:hint="eastAsia"/>
                <w:color w:val="000000"/>
                <w:sz w:val="21"/>
                <w:szCs w:val="21"/>
                <w:highlight w:val="none"/>
                <w:lang w:val="en-US" w:bidi="ar-SA"/>
              </w:rPr>
              <w:t xml:space="preserve">（3）上述每项内容不科学合理、无操作性或未提供的不得分。</w:t>
            </w:r>
            <w:r>
              <w:rPr>
                <w:rFonts w:hint="eastAsia"/>
                <w:color w:val="000000"/>
                <w:sz w:val="21"/>
                <w:szCs w:val="21"/>
                <w:highlight w:val="none"/>
                <w:lang w:bidi="ar-SA"/>
              </w:rPr>
            </w:r>
            <w:r/>
          </w:p>
        </w:tc>
        <w:tc>
          <w:tcPr>
            <w:tcW w:w="647"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主观分</w:t>
            </w:r>
            <w:r>
              <w:rPr>
                <w:rFonts w:hint="eastAsia" w:ascii="宋体" w:hAnsi="宋体" w:cs="宋体"/>
                <w:color w:val="000000"/>
                <w:spacing w:val="-6"/>
                <w:szCs w:val="21"/>
                <w:highlight w:val="none"/>
              </w:rPr>
            </w:r>
            <w:r/>
          </w:p>
        </w:tc>
      </w:tr>
      <w:tr>
        <w:trPr>
          <w:trHeight w:val="133"/>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3.2</w:t>
            </w:r>
            <w:r>
              <w:rPr>
                <w:rFonts w:hint="eastAsia" w:ascii="宋体" w:hAnsi="宋体" w:cs="宋体"/>
                <w:color w:val="000000"/>
                <w:spacing w:val="-2"/>
                <w:szCs w:val="21"/>
                <w:highlight w:val="none"/>
              </w:rPr>
            </w:r>
            <w:r/>
          </w:p>
        </w:tc>
        <w:tc>
          <w:tcPr>
            <w:tcW w:w="1179" w:type="dxa"/>
            <w:vAlign w:val="center"/>
            <w:textDirection w:val="lrTb"/>
            <w:noWrap w:val="false"/>
          </w:tcPr>
          <w:p>
            <w:pPr>
              <w:pStyle w:val="881"/>
              <w:jc w:val="left"/>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售后服务方案</w:t>
            </w:r>
            <w:r>
              <w:rPr>
                <w:rFonts w:hint="eastAsia" w:ascii="宋体" w:hAnsi="宋体" w:cs="宋体"/>
                <w:color w:val="000000"/>
                <w:szCs w:val="21"/>
                <w:highlight w:val="none"/>
              </w:rPr>
            </w:r>
            <w:r/>
          </w:p>
        </w:tc>
        <w:tc>
          <w:tcPr>
            <w:tcW w:w="6330" w:type="dxa"/>
            <w:vAlign w:val="center"/>
            <w:textDirection w:val="lrTb"/>
            <w:noWrap w:val="false"/>
          </w:tcPr>
          <w:p>
            <w:pPr>
              <w:pStyle w:val="1000"/>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评委根据投标人提供的项目售后服务方案综合评分</w:t>
            </w:r>
            <w:r>
              <w:rPr>
                <w:rFonts w:hint="eastAsia"/>
                <w:color w:val="000000"/>
                <w:sz w:val="21"/>
                <w:szCs w:val="21"/>
                <w:highlight w:val="none"/>
                <w:lang w:val="en-US" w:bidi="ar-SA"/>
              </w:rPr>
              <w:t xml:space="preserve">（</w:t>
            </w:r>
            <w:r>
              <w:rPr>
                <w:rFonts w:hint="eastAsia"/>
                <w:color w:val="000000"/>
                <w:sz w:val="21"/>
                <w:szCs w:val="21"/>
                <w:highlight w:val="none"/>
                <w:lang w:val="en-US" w:bidi="ar-SA"/>
              </w:rPr>
              <w:t xml:space="preserve">每项内容逐条阐述</w:t>
            </w:r>
            <w:r>
              <w:rPr>
                <w:rFonts w:hint="eastAsia"/>
                <w:color w:val="000000"/>
                <w:sz w:val="21"/>
                <w:szCs w:val="21"/>
                <w:highlight w:val="none"/>
                <w:lang w:val="en-US" w:bidi="ar-SA"/>
              </w:rPr>
              <w:t xml:space="preserve">）</w:t>
            </w:r>
            <w:r>
              <w:rPr>
                <w:rFonts w:hint="eastAsia"/>
                <w:color w:val="000000"/>
                <w:sz w:val="21"/>
                <w:szCs w:val="21"/>
                <w:highlight w:val="none"/>
                <w:lang w:val="en-US" w:bidi="ar-SA"/>
              </w:rPr>
              <w:t xml:space="preserve">，包括：1.售后服务保证措施；2.维修方案；3</w:t>
            </w:r>
            <w:r>
              <w:rPr>
                <w:rFonts w:hint="eastAsia"/>
                <w:color w:val="000000"/>
                <w:sz w:val="21"/>
                <w:szCs w:val="21"/>
                <w:highlight w:val="none"/>
                <w:lang w:val="en-US" w:eastAsia="zh-CN" w:bidi="ar-SA"/>
              </w:rPr>
              <w:t xml:space="preserve">.</w:t>
            </w:r>
            <w:r>
              <w:rPr>
                <w:rFonts w:hint="eastAsia"/>
                <w:color w:val="000000"/>
                <w:sz w:val="21"/>
                <w:szCs w:val="21"/>
                <w:highlight w:val="none"/>
                <w:lang w:val="en-US" w:bidi="ar-SA"/>
              </w:rPr>
              <w:t xml:space="preserve">质保期内外服务计划。</w:t>
            </w:r>
            <w:r/>
          </w:p>
          <w:p>
            <w:pPr>
              <w:pStyle w:val="1000"/>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（1）上述每项内容完整，科学合理、操作性强的，得2分； </w:t>
            </w:r>
            <w:r>
              <w:rPr>
                <w:rFonts w:hint="eastAsia"/>
                <w:color w:val="000000"/>
                <w:sz w:val="21"/>
                <w:szCs w:val="21"/>
                <w:highlight w:val="none"/>
                <w:lang w:val="en-US" w:bidi="ar-SA"/>
              </w:rPr>
            </w:r>
            <w:r/>
          </w:p>
          <w:p>
            <w:pPr>
              <w:pStyle w:val="1000"/>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（2）上述每项内容较完整，较科学合理，有可操作性的，得1分； </w:t>
            </w:r>
            <w:r>
              <w:rPr>
                <w:rFonts w:hint="eastAsia"/>
                <w:color w:val="000000"/>
                <w:sz w:val="21"/>
                <w:szCs w:val="21"/>
                <w:highlight w:val="none"/>
                <w:lang w:val="en-US" w:bidi="ar-SA"/>
              </w:rPr>
            </w:r>
            <w:r/>
          </w:p>
          <w:p>
            <w:pPr>
              <w:pStyle w:val="1000"/>
              <w:spacing w:line="264" w:lineRule="auto"/>
              <w:rPr>
                <w:rFonts w:hint="eastAsia"/>
                <w:color w:val="000000"/>
                <w:sz w:val="21"/>
                <w:szCs w:val="21"/>
                <w:highlight w:val="none"/>
                <w:lang w:val="en-US" w:bidi="ar-SA"/>
              </w:rPr>
            </w:pPr>
            <w:r>
              <w:rPr>
                <w:rFonts w:hint="eastAsia"/>
                <w:color w:val="000000"/>
                <w:sz w:val="21"/>
                <w:szCs w:val="21"/>
                <w:highlight w:val="none"/>
                <w:lang w:val="en-US" w:bidi="ar-SA"/>
              </w:rPr>
              <w:t xml:space="preserve">（3）上述每项内容不科学合理、无操作性或未提供的不得分。</w:t>
            </w:r>
            <w:r>
              <w:rPr>
                <w:rFonts w:hint="eastAsia"/>
                <w:color w:val="000000"/>
                <w:sz w:val="21"/>
                <w:szCs w:val="21"/>
                <w:highlight w:val="none"/>
                <w:lang w:val="en-US" w:bidi="ar-SA"/>
              </w:rPr>
            </w:r>
            <w:r/>
          </w:p>
        </w:tc>
        <w:tc>
          <w:tcPr>
            <w:tcW w:w="647"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主观分</w:t>
            </w:r>
            <w:r>
              <w:rPr>
                <w:rFonts w:hint="eastAsia" w:ascii="宋体" w:hAnsi="宋体" w:cs="宋体"/>
                <w:color w:val="000000"/>
                <w:spacing w:val="-6"/>
                <w:szCs w:val="21"/>
                <w:highlight w:val="none"/>
              </w:rPr>
            </w:r>
            <w:r/>
          </w:p>
        </w:tc>
      </w:tr>
      <w:tr>
        <w:trPr>
          <w:trHeight w:val="133"/>
        </w:trPr>
        <w:tc>
          <w:tcPr>
            <w:tcW w:w="519" w:type="dxa"/>
            <w:vAlign w:val="center"/>
            <w:textDirection w:val="lrTb"/>
            <w:noWrap w:val="false"/>
          </w:tcPr>
          <w:p>
            <w:pPr>
              <w:pStyle w:val="881"/>
              <w:jc w:val="center"/>
              <w:spacing w:before="68" w:line="264" w:lineRule="auto"/>
              <w:rPr>
                <w:rFonts w:ascii="宋体" w:hAnsi="宋体" w:eastAsia="宋体" w:cs="宋体"/>
                <w:color w:val="000000"/>
                <w:spacing w:val="-2"/>
                <w:szCs w:val="21"/>
                <w:highlight w:val="none"/>
                <w:lang w:val="en-US" w:eastAsia="zh-CN"/>
              </w:rPr>
            </w:pPr>
            <w:r>
              <w:rPr>
                <w:rFonts w:hint="eastAsia" w:ascii="宋体" w:hAnsi="宋体" w:cs="宋体"/>
                <w:color w:val="000000"/>
                <w:spacing w:val="-2"/>
                <w:szCs w:val="21"/>
                <w:highlight w:val="none"/>
                <w:lang w:val="en-US" w:eastAsia="zh-CN"/>
              </w:rPr>
              <w:t xml:space="preserve">3.3</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81"/>
              <w:jc w:val="left"/>
              <w:spacing w:before="68" w:line="264" w:lineRule="auto"/>
              <w:rPr>
                <w:rFonts w:hint="eastAsia" w:ascii="宋体" w:hAnsi="宋体" w:cs="宋体"/>
                <w:color w:val="000000"/>
                <w:szCs w:val="21"/>
                <w:highlight w:val="none"/>
              </w:rPr>
            </w:pPr>
            <w:r>
              <w:rPr>
                <w:rFonts w:hint="eastAsia" w:ascii="宋体" w:hAnsi="宋体" w:cs="宋体"/>
                <w:color w:val="000000"/>
                <w:spacing w:val="-2"/>
                <w:highlight w:val="none"/>
              </w:rPr>
              <w:t xml:space="preserve">产品质保期限</w:t>
            </w:r>
            <w:r>
              <w:rPr>
                <w:rFonts w:hint="eastAsia" w:ascii="宋体" w:hAnsi="宋体" w:cs="宋体"/>
                <w:color w:val="000000"/>
                <w:szCs w:val="21"/>
                <w:highlight w:val="none"/>
              </w:rPr>
            </w:r>
            <w:r/>
          </w:p>
        </w:tc>
        <w:tc>
          <w:tcPr>
            <w:tcW w:w="6330" w:type="dxa"/>
            <w:vAlign w:val="center"/>
            <w:textDirection w:val="lrTb"/>
            <w:noWrap w:val="false"/>
          </w:tcPr>
          <w:p>
            <w:pPr>
              <w:pStyle w:val="881"/>
              <w:rPr>
                <w:rFonts w:hint="eastAsia"/>
                <w:color w:val="000000"/>
                <w:sz w:val="21"/>
                <w:szCs w:val="21"/>
                <w:highlight w:val="none"/>
                <w:lang w:val="en-US" w:bidi="ar-SA"/>
              </w:rPr>
            </w:pPr>
            <w:r>
              <w:rPr>
                <w:rFonts w:hint="eastAsia"/>
                <w:color w:val="000000"/>
                <w:szCs w:val="21"/>
                <w:highlight w:val="none"/>
                <w:lang w:bidi="ar"/>
              </w:rPr>
              <w:t xml:space="preserve">在满足招标文</w:t>
            </w:r>
            <w:r>
              <w:rPr>
                <w:rStyle w:val="1006"/>
                <w:b w:val="0"/>
                <w:bCs w:val="0"/>
                <w:color w:val="000000"/>
                <w:sz w:val="21"/>
                <w:szCs w:val="21"/>
                <w:highlight w:val="none"/>
                <w:lang w:bidi="ar"/>
              </w:rPr>
              <w:t xml:space="preserve">件原厂质保期3年的基础上，投标人每免费延长1年质保的得1分，最高得2分。</w:t>
            </w:r>
            <w:r>
              <w:rPr>
                <w:rFonts w:hint="eastAsia"/>
                <w:color w:val="000000"/>
                <w:szCs w:val="21"/>
                <w:highlight w:val="none"/>
              </w:rPr>
              <w:t xml:space="preserve">投标人投标时出具承诺函，并加盖公章。</w:t>
            </w:r>
            <w:r>
              <w:rPr>
                <w:rFonts w:hint="eastAsia"/>
                <w:color w:val="000000"/>
                <w:sz w:val="21"/>
                <w:szCs w:val="21"/>
                <w:highlight w:val="none"/>
                <w:lang w:val="en-US" w:bidi="ar-SA"/>
              </w:rPr>
            </w:r>
            <w:r/>
          </w:p>
        </w:tc>
        <w:tc>
          <w:tcPr>
            <w:tcW w:w="647" w:type="dxa"/>
            <w:vAlign w:val="center"/>
            <w:textDirection w:val="lrTb"/>
            <w:noWrap w:val="false"/>
          </w:tcPr>
          <w:p>
            <w:pPr>
              <w:pStyle w:val="881"/>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eastAsia="宋体" w:cs="宋体"/>
                <w:color w:val="000000"/>
                <w:spacing w:val="-6"/>
                <w:szCs w:val="21"/>
                <w:highlight w:val="none"/>
                <w:lang w:val="en-US" w:eastAsia="zh-CN"/>
              </w:rPr>
            </w:pPr>
            <w:r>
              <w:rPr>
                <w:rFonts w:hint="eastAsia" w:ascii="宋体" w:hAnsi="宋体" w:cs="宋体"/>
                <w:color w:val="000000"/>
                <w:spacing w:val="-6"/>
                <w:szCs w:val="21"/>
                <w:highlight w:val="none"/>
                <w:lang w:val="en-US" w:eastAsia="zh-CN"/>
              </w:rPr>
              <w:t xml:space="preserve">客观分</w:t>
            </w:r>
            <w:r>
              <w:rPr>
                <w:rFonts w:hint="eastAsia" w:ascii="宋体" w:hAnsi="宋体" w:eastAsia="宋体" w:cs="宋体"/>
                <w:color w:val="000000"/>
                <w:spacing w:val="-6"/>
                <w:szCs w:val="21"/>
                <w:highlight w:val="none"/>
                <w:lang w:val="en-US" w:eastAsia="zh-CN"/>
              </w:rPr>
            </w:r>
            <w:r/>
          </w:p>
        </w:tc>
      </w:tr>
      <w:tr>
        <w:trPr>
          <w:trHeight w:val="455"/>
        </w:trPr>
        <w:tc>
          <w:tcPr>
            <w:gridSpan w:val="5"/>
            <w:tcW w:w="9575" w:type="dxa"/>
            <w:vAlign w:val="center"/>
            <w:textDirection w:val="lrTb"/>
            <w:noWrap w:val="false"/>
          </w:tcPr>
          <w:p>
            <w:pPr>
              <w:pStyle w:val="881"/>
              <w:spacing w:line="264" w:lineRule="auto"/>
              <w:rPr>
                <w:rFonts w:hint="eastAsia" w:ascii="宋体" w:hAnsi="宋体" w:cs="宋体"/>
                <w:color w:val="000000"/>
                <w:szCs w:val="21"/>
                <w:highlight w:val="none"/>
              </w:rPr>
            </w:pPr>
            <w:r>
              <w:rPr>
                <w:rFonts w:hint="eastAsia" w:ascii="宋体" w:hAnsi="宋体" w:cs="宋体"/>
                <w:color w:val="000000"/>
                <w:spacing w:val="-3"/>
                <w:szCs w:val="21"/>
                <w:highlight w:val="none"/>
              </w:rPr>
              <w:t xml:space="preserve">4.业绩</w:t>
            </w:r>
            <w:r>
              <w:rPr>
                <w:rFonts w:hint="eastAsia" w:ascii="宋体" w:hAnsi="宋体" w:cs="宋体"/>
                <w:color w:val="000000"/>
                <w:szCs w:val="21"/>
                <w:highlight w:val="none"/>
              </w:rPr>
            </w:r>
            <w:r/>
          </w:p>
        </w:tc>
      </w:tr>
      <w:tr>
        <w:trPr>
          <w:trHeight w:val="1015"/>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4.1</w:t>
            </w:r>
            <w:r>
              <w:rPr>
                <w:rFonts w:hint="eastAsia" w:ascii="宋体" w:hAnsi="宋体" w:cs="宋体"/>
                <w:color w:val="000000"/>
                <w:spacing w:val="-2"/>
                <w:szCs w:val="21"/>
                <w:highlight w:val="none"/>
              </w:rPr>
            </w:r>
            <w:r/>
          </w:p>
        </w:tc>
        <w:tc>
          <w:tcPr>
            <w:tcW w:w="1179" w:type="dxa"/>
            <w:vAlign w:val="center"/>
            <w:textDirection w:val="lrTb"/>
            <w:noWrap w:val="false"/>
          </w:tcPr>
          <w:p>
            <w:pPr>
              <w:pStyle w:val="881"/>
              <w:spacing w:before="69" w:line="264" w:lineRule="auto"/>
              <w:rPr>
                <w:rFonts w:hint="eastAsia"/>
                <w:color w:val="000000"/>
                <w:szCs w:val="21"/>
                <w:highlight w:val="none"/>
              </w:rPr>
            </w:pPr>
            <w:r>
              <w:rPr>
                <w:rFonts w:hint="eastAsia" w:ascii="宋体" w:hAnsi="宋体" w:cs="宋体"/>
                <w:color w:val="000000"/>
                <w:spacing w:val="-1"/>
                <w:szCs w:val="21"/>
                <w:highlight w:val="none"/>
              </w:rPr>
              <w:t xml:space="preserve">投标人业绩或产品业绩</w:t>
            </w:r>
            <w:r>
              <w:rPr>
                <w:rFonts w:hint="eastAsia"/>
                <w:color w:val="000000"/>
                <w:szCs w:val="21"/>
                <w:highlight w:val="none"/>
              </w:rPr>
            </w:r>
            <w:r/>
          </w:p>
        </w:tc>
        <w:tc>
          <w:tcPr>
            <w:tcW w:w="6330" w:type="dxa"/>
            <w:vAlign w:val="center"/>
            <w:textDirection w:val="lrTb"/>
            <w:noWrap w:val="false"/>
          </w:tcPr>
          <w:p>
            <w:pPr>
              <w:pStyle w:val="881"/>
              <w:spacing w:line="264" w:lineRule="auto"/>
              <w:rPr>
                <w:rFonts w:ascii="宋体" w:hAnsi="宋体" w:cs="宋体"/>
                <w:color w:val="000000"/>
                <w:szCs w:val="21"/>
                <w:highlight w:val="none"/>
                <w:lang w:bidi="zh-CN"/>
              </w:rPr>
            </w:pPr>
            <w:r>
              <w:rPr>
                <w:rFonts w:hint="eastAsia" w:ascii="宋体" w:hAnsi="宋体" w:cs="宋体"/>
                <w:color w:val="000000"/>
                <w:szCs w:val="21"/>
                <w:highlight w:val="none"/>
              </w:rPr>
              <w:t xml:space="preserve">投标人提供2021年1月1日（含）以来类似项目业绩或产品业绩（至少包含</w:t>
            </w:r>
            <w:r>
              <w:rPr>
                <w:rFonts w:hint="eastAsia" w:ascii="宋体" w:hAnsi="宋体" w:cs="宋体"/>
                <w:color w:val="000000"/>
                <w:highlight w:val="none"/>
              </w:rPr>
              <w:t xml:space="preserve">物理智慧实验室或化学智慧实验室或生物智慧实验室类</w:t>
            </w:r>
            <w:r>
              <w:rPr>
                <w:rFonts w:hint="eastAsia" w:ascii="宋体" w:hAnsi="宋体" w:cs="宋体"/>
                <w:color w:val="000000"/>
                <w:szCs w:val="21"/>
                <w:highlight w:val="none"/>
              </w:rPr>
              <w:t xml:space="preserve">），每提供1个得1分，最多得3分。（时间以合同签订时间为准，提供有效合同，合同页须清晰可见相应内容）</w:t>
            </w:r>
            <w:r>
              <w:rPr>
                <w:rFonts w:ascii="宋体" w:hAnsi="宋体" w:cs="宋体"/>
                <w:color w:val="000000"/>
                <w:szCs w:val="21"/>
                <w:highlight w:val="none"/>
                <w:lang w:bidi="zh-CN"/>
              </w:rPr>
            </w:r>
            <w:r/>
          </w:p>
        </w:tc>
        <w:tc>
          <w:tcPr>
            <w:tcW w:w="647"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zCs w:val="21"/>
                <w:highlight w:val="none"/>
              </w:rPr>
            </w:r>
            <w:r/>
          </w:p>
        </w:tc>
      </w:tr>
      <w:tr>
        <w:trPr>
          <w:trHeight w:val="269"/>
        </w:trPr>
        <w:tc>
          <w:tcPr>
            <w:gridSpan w:val="5"/>
            <w:tcW w:w="9575" w:type="dxa"/>
            <w:vAlign w:val="top"/>
            <w:textDirection w:val="lrTb"/>
            <w:noWrap w:val="false"/>
          </w:tcPr>
          <w:p>
            <w:pPr>
              <w:pStyle w:val="881"/>
              <w:spacing w:before="123" w:line="264" w:lineRule="auto"/>
              <w:rPr>
                <w:rFonts w:hint="eastAsia" w:ascii="宋体" w:hAnsi="宋体" w:cs="宋体"/>
                <w:color w:val="000000"/>
                <w:szCs w:val="21"/>
                <w:highlight w:val="none"/>
              </w:rPr>
            </w:pPr>
            <w:r>
              <w:rPr>
                <w:rFonts w:hint="eastAsia" w:ascii="宋体" w:hAnsi="宋体" w:cs="宋体"/>
                <w:color w:val="000000"/>
                <w:spacing w:val="-3"/>
                <w:szCs w:val="21"/>
                <w:highlight w:val="none"/>
              </w:rPr>
              <w:t xml:space="preserve">5.履约能力</w:t>
            </w:r>
            <w:r>
              <w:rPr>
                <w:rFonts w:hint="eastAsia" w:ascii="宋体" w:hAnsi="宋体" w:cs="宋体"/>
                <w:color w:val="000000"/>
                <w:szCs w:val="21"/>
                <w:highlight w:val="none"/>
              </w:rPr>
            </w:r>
            <w:r/>
          </w:p>
        </w:tc>
      </w:tr>
      <w:tr>
        <w:trPr>
          <w:trHeight w:val="387"/>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5.1</w:t>
            </w:r>
            <w:r>
              <w:rPr>
                <w:rFonts w:hint="eastAsia" w:ascii="宋体" w:hAnsi="宋体" w:cs="宋体"/>
                <w:color w:val="000000"/>
                <w:spacing w:val="-2"/>
                <w:szCs w:val="21"/>
                <w:highlight w:val="none"/>
              </w:rPr>
            </w:r>
            <w:r/>
          </w:p>
        </w:tc>
        <w:tc>
          <w:tcPr>
            <w:tcW w:w="1179" w:type="dxa"/>
            <w:vAlign w:val="center"/>
            <w:textDirection w:val="lrTb"/>
            <w:noWrap w:val="false"/>
          </w:tcPr>
          <w:p>
            <w:pPr>
              <w:pStyle w:val="881"/>
              <w:spacing w:before="69"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履约能力1</w:t>
            </w:r>
            <w:r>
              <w:rPr>
                <w:rFonts w:hint="eastAsia" w:ascii="宋体" w:hAnsi="宋体" w:cs="宋体"/>
                <w:color w:val="000000"/>
                <w:spacing w:val="-1"/>
                <w:szCs w:val="21"/>
                <w:highlight w:val="none"/>
              </w:rPr>
            </w:r>
            <w:r/>
          </w:p>
        </w:tc>
        <w:tc>
          <w:tcPr>
            <w:tcW w:w="6330" w:type="dxa"/>
            <w:vAlign w:val="center"/>
            <w:textDirection w:val="lrTb"/>
            <w:noWrap w:val="false"/>
          </w:tcPr>
          <w:p>
            <w:pPr>
              <w:pStyle w:val="881"/>
              <w:jc w:val="left"/>
              <w:rPr>
                <w:rFonts w:hint="eastAsia" w:ascii="宋体" w:hAnsi="宋体" w:cs="宋体"/>
                <w:color w:val="000000"/>
                <w:highlight w:val="none"/>
                <w:u w:val="single"/>
              </w:rPr>
            </w:pPr>
            <w:r>
              <w:rPr>
                <w:rFonts w:hint="eastAsia" w:ascii="宋体" w:hAnsi="宋体" w:cs="宋体"/>
                <w:color w:val="000000"/>
                <w:highlight w:val="none"/>
              </w:rPr>
              <w:t xml:space="preserve">投标人拟投入本项目的项目负责人具有电子信息类中级工程师职称的得1分，电子信息类高级及以上工程师职称的</w:t>
            </w:r>
            <w:r>
              <w:rPr>
                <w:rFonts w:hint="eastAsia" w:ascii="宋体" w:hAnsi="宋体" w:cs="宋体"/>
                <w:color w:val="000000"/>
                <w:highlight w:val="none"/>
                <w:u w:val="none"/>
              </w:rPr>
              <w:t xml:space="preserve">得2分，</w:t>
            </w:r>
            <w:r>
              <w:rPr>
                <w:rFonts w:hint="eastAsia" w:ascii="宋体" w:hAnsi="宋体" w:cs="宋体"/>
                <w:color w:val="000000"/>
                <w:highlight w:val="none"/>
                <w:u w:val="single"/>
              </w:rPr>
            </w:r>
            <w:r/>
          </w:p>
          <w:p>
            <w:pPr>
              <w:pStyle w:val="881"/>
              <w:spacing w:line="264" w:lineRule="auto"/>
              <w:rPr>
                <w:rFonts w:hint="eastAsia" w:ascii="宋体" w:hAnsi="宋体" w:cs="宋体"/>
                <w:color w:val="000000"/>
                <w:szCs w:val="21"/>
                <w:highlight w:val="none"/>
              </w:rPr>
            </w:pPr>
            <w:r>
              <w:rPr>
                <w:rFonts w:hint="eastAsia" w:ascii="宋体" w:hAnsi="宋体" w:cs="宋体"/>
                <w:color w:val="000000"/>
                <w:highlight w:val="none"/>
              </w:rPr>
              <w:t xml:space="preserve">（提供人员证书以及投标人为其缴纳的 2025年1月以来任意一个月的社保证明材料，缺一不可）</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zCs w:val="21"/>
                <w:highlight w:val="none"/>
              </w:rPr>
            </w:r>
            <w:r/>
          </w:p>
        </w:tc>
      </w:tr>
      <w:tr>
        <w:trPr>
          <w:trHeight w:val="383"/>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5.2</w:t>
            </w:r>
            <w:r>
              <w:rPr>
                <w:rFonts w:hint="eastAsia" w:ascii="宋体" w:hAnsi="宋体" w:cs="宋体"/>
                <w:color w:val="000000"/>
                <w:spacing w:val="-2"/>
                <w:szCs w:val="21"/>
                <w:highlight w:val="none"/>
              </w:rPr>
            </w:r>
            <w:r/>
          </w:p>
        </w:tc>
        <w:tc>
          <w:tcPr>
            <w:tcW w:w="1179" w:type="dxa"/>
            <w:vAlign w:val="center"/>
            <w:textDirection w:val="lrTb"/>
            <w:noWrap w:val="false"/>
          </w:tcPr>
          <w:p>
            <w:pPr>
              <w:pStyle w:val="881"/>
              <w:spacing w:before="69"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履约能力2</w:t>
            </w:r>
            <w:r>
              <w:rPr>
                <w:rFonts w:hint="eastAsia" w:ascii="宋体" w:hAnsi="宋体" w:cs="宋体"/>
                <w:color w:val="000000"/>
                <w:spacing w:val="-1"/>
                <w:szCs w:val="21"/>
                <w:highlight w:val="none"/>
              </w:rPr>
            </w:r>
            <w:r/>
          </w:p>
        </w:tc>
        <w:tc>
          <w:tcPr>
            <w:tcW w:w="6330" w:type="dxa"/>
            <w:vAlign w:val="center"/>
            <w:textDirection w:val="lrTb"/>
            <w:noWrap w:val="false"/>
          </w:tcPr>
          <w:p>
            <w:pPr>
              <w:pStyle w:val="881"/>
              <w:spacing w:line="264" w:lineRule="auto"/>
              <w:rPr>
                <w:rFonts w:hint="eastAsia" w:ascii="宋体" w:hAnsi="宋体" w:eastAsia="宋体" w:cs="宋体"/>
                <w:color w:val="000000"/>
                <w:highlight w:val="none"/>
              </w:rPr>
            </w:pPr>
            <w:r>
              <w:rPr>
                <w:rFonts w:hint="eastAsia" w:ascii="宋体" w:hAnsi="宋体" w:cs="宋体"/>
                <w:color w:val="000000"/>
                <w:szCs w:val="21"/>
                <w:highlight w:val="none"/>
              </w:rPr>
              <w:t xml:space="preserve">投标人拟投入本项目的团</w:t>
            </w:r>
            <w:r>
              <w:rPr>
                <w:rFonts w:hint="eastAsia" w:ascii="宋体" w:hAnsi="宋体" w:eastAsia="宋体" w:cs="宋体"/>
                <w:color w:val="000000"/>
                <w:szCs w:val="22"/>
                <w:highlight w:val="none"/>
              </w:rPr>
              <w:t xml:space="preserve">队实施人员（项目负责人除外）具有自动化</w:t>
            </w:r>
            <w:r>
              <w:rPr>
                <w:rFonts w:hint="eastAsia" w:ascii="宋体" w:hAnsi="宋体" w:eastAsia="宋体" w:cs="宋体"/>
                <w:color w:val="000000"/>
                <w:szCs w:val="22"/>
                <w:highlight w:val="none"/>
                <w:lang w:val="en-US" w:eastAsia="zh-CN"/>
              </w:rPr>
              <w:t xml:space="preserve">专业</w:t>
            </w:r>
            <w:r>
              <w:rPr>
                <w:rFonts w:hint="eastAsia" w:ascii="宋体" w:hAnsi="宋体" w:eastAsia="宋体" w:cs="宋体"/>
                <w:color w:val="000000"/>
                <w:szCs w:val="22"/>
                <w:highlight w:val="none"/>
              </w:rPr>
              <w:t xml:space="preserve">中级</w:t>
            </w:r>
            <w:r>
              <w:rPr>
                <w:rFonts w:hint="eastAsia" w:ascii="宋体" w:hAnsi="宋体" w:eastAsia="宋体" w:cs="宋体"/>
                <w:color w:val="000000"/>
                <w:szCs w:val="22"/>
                <w:highlight w:val="none"/>
                <w:lang w:val="en-US" w:eastAsia="zh-CN"/>
              </w:rPr>
              <w:t xml:space="preserve">工程师</w:t>
            </w:r>
            <w:r>
              <w:rPr>
                <w:rFonts w:hint="eastAsia" w:ascii="宋体" w:hAnsi="宋体" w:eastAsia="宋体" w:cs="宋体"/>
                <w:color w:val="000000"/>
                <w:szCs w:val="22"/>
                <w:highlight w:val="none"/>
              </w:rPr>
              <w:t xml:space="preserve">职称</w:t>
            </w:r>
            <w:r>
              <w:rPr>
                <w:rFonts w:hint="eastAsia" w:ascii="宋体" w:hAnsi="宋体" w:eastAsia="宋体" w:cs="宋体"/>
                <w:color w:val="000000"/>
                <w:szCs w:val="22"/>
                <w:highlight w:val="none"/>
                <w:lang w:val="en-US" w:eastAsia="zh-CN"/>
              </w:rPr>
              <w:t xml:space="preserve">的</w:t>
            </w:r>
            <w:r>
              <w:rPr>
                <w:rFonts w:hint="eastAsia" w:ascii="宋体" w:hAnsi="宋体" w:eastAsia="宋体" w:cs="宋体"/>
                <w:color w:val="000000"/>
                <w:szCs w:val="22"/>
                <w:highlight w:val="none"/>
              </w:rPr>
              <w:t xml:space="preserve">，每提供一人得1分；具有自动化</w:t>
            </w:r>
            <w:r>
              <w:rPr>
                <w:rFonts w:hint="eastAsia" w:ascii="宋体" w:hAnsi="宋体" w:eastAsia="宋体" w:cs="宋体"/>
                <w:color w:val="000000"/>
                <w:szCs w:val="22"/>
                <w:highlight w:val="none"/>
                <w:lang w:val="en-US" w:eastAsia="zh-CN"/>
              </w:rPr>
              <w:t xml:space="preserve">专业</w:t>
            </w:r>
            <w:r>
              <w:rPr>
                <w:rFonts w:hint="eastAsia" w:ascii="宋体" w:hAnsi="宋体" w:eastAsia="宋体" w:cs="宋体"/>
                <w:color w:val="000000"/>
                <w:szCs w:val="22"/>
                <w:highlight w:val="none"/>
              </w:rPr>
              <w:t xml:space="preserve">高级工程师职称</w:t>
            </w:r>
            <w:r>
              <w:rPr>
                <w:rFonts w:hint="eastAsia" w:ascii="宋体" w:hAnsi="宋体" w:eastAsia="宋体" w:cs="宋体"/>
                <w:color w:val="000000"/>
                <w:szCs w:val="22"/>
                <w:highlight w:val="none"/>
                <w:lang w:val="en-US" w:eastAsia="zh-CN"/>
              </w:rPr>
              <w:t xml:space="preserve">的</w:t>
            </w:r>
            <w:r>
              <w:rPr>
                <w:rFonts w:hint="eastAsia" w:ascii="宋体" w:hAnsi="宋体" w:eastAsia="宋体" w:cs="宋体"/>
                <w:color w:val="000000"/>
                <w:szCs w:val="22"/>
                <w:highlight w:val="none"/>
              </w:rPr>
              <w:t xml:space="preserve">，每提供一人得2分，最多得4分。</w:t>
            </w:r>
            <w:r>
              <w:rPr>
                <w:rFonts w:hint="eastAsia" w:ascii="宋体" w:hAnsi="宋体" w:eastAsia="宋体" w:cs="宋体"/>
                <w:color w:val="000000"/>
                <w:highlight w:val="none"/>
              </w:rPr>
            </w:r>
            <w:r/>
          </w:p>
          <w:p>
            <w:pPr>
              <w:pStyle w:val="881"/>
              <w:spacing w:line="264" w:lineRule="auto"/>
              <w:rPr>
                <w:rFonts w:hint="eastAsia" w:ascii="宋体" w:hAnsi="宋体" w:cs="宋体"/>
                <w:color w:val="000000"/>
                <w:szCs w:val="21"/>
                <w:highlight w:val="none"/>
              </w:rPr>
            </w:pPr>
            <w:r>
              <w:rPr>
                <w:rFonts w:hint="eastAsia" w:ascii="宋体" w:hAnsi="宋体" w:eastAsia="宋体" w:cs="宋体"/>
                <w:color w:val="000000"/>
                <w:szCs w:val="22"/>
                <w:highlight w:val="none"/>
              </w:rPr>
              <w:t xml:space="preserve">（一人多证不重复计分，以最高分计。提供人员证书以及投标人为其缴纳的 2025年1月以来任意一个月的社保证明材料，缺一不可）</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before="68"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zCs w:val="21"/>
                <w:highlight w:val="none"/>
              </w:rPr>
            </w:r>
            <w:r/>
          </w:p>
        </w:tc>
      </w:tr>
      <w:tr>
        <w:trPr>
          <w:trHeight w:val="383"/>
        </w:trPr>
        <w:tc>
          <w:tcPr>
            <w:tcW w:w="519" w:type="dxa"/>
            <w:vAlign w:val="center"/>
            <w:textDirection w:val="lrTb"/>
            <w:noWrap w:val="false"/>
          </w:tcPr>
          <w:p>
            <w:pPr>
              <w:pStyle w:val="881"/>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5.3</w:t>
            </w:r>
            <w:r>
              <w:rPr>
                <w:rFonts w:ascii="宋体" w:hAnsi="宋体" w:cs="宋体"/>
                <w:color w:val="000000"/>
                <w:spacing w:val="-2"/>
                <w:szCs w:val="21"/>
                <w:highlight w:val="none"/>
              </w:rPr>
            </w:r>
            <w:r/>
          </w:p>
        </w:tc>
        <w:tc>
          <w:tcPr>
            <w:tcW w:w="117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highlight w:val="none"/>
              </w:rPr>
              <w:t xml:space="preserve">履约能力3</w:t>
            </w:r>
            <w:r>
              <w:rPr>
                <w:rFonts w:hint="eastAsia" w:ascii="宋体" w:hAnsi="宋体" w:cs="宋体"/>
                <w:color w:val="000000"/>
                <w:spacing w:val="-2"/>
                <w:szCs w:val="21"/>
                <w:highlight w:val="none"/>
              </w:rPr>
            </w:r>
            <w:r/>
          </w:p>
        </w:tc>
        <w:tc>
          <w:tcPr>
            <w:tcW w:w="6330" w:type="dxa"/>
            <w:vAlign w:val="center"/>
            <w:textDirection w:val="lrTb"/>
            <w:noWrap w:val="false"/>
          </w:tcPr>
          <w:p>
            <w:pPr>
              <w:pStyle w:val="88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投标人所投软件产品具有国家版权局出具的计算机软件著作权登记证书（含“实验教学及考核管理”）得2分，不提供不得分。</w:t>
            </w:r>
            <w:r>
              <w:rPr>
                <w:rFonts w:hint="eastAsia" w:ascii="宋体" w:hAnsi="宋体" w:cs="宋体"/>
                <w:color w:val="000000"/>
                <w:szCs w:val="21"/>
                <w:highlight w:val="none"/>
              </w:rPr>
            </w:r>
            <w:r/>
          </w:p>
          <w:p>
            <w:pPr>
              <w:pStyle w:val="88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（所提供证书“软件名称”与评分细则规定不同时，应提供符合上述要求的内容（功能）说明及关键信息，否则不予认可）</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pacing w:val="-6"/>
                <w:szCs w:val="21"/>
                <w:highlight w:val="none"/>
              </w:rPr>
            </w:r>
            <w:r/>
          </w:p>
        </w:tc>
      </w:tr>
      <w:tr>
        <w:trPr>
          <w:trHeight w:val="431"/>
        </w:trPr>
        <w:tc>
          <w:tcPr>
            <w:gridSpan w:val="5"/>
            <w:tcW w:w="9575" w:type="dxa"/>
            <w:vAlign w:val="center"/>
            <w:textDirection w:val="lrTb"/>
            <w:noWrap w:val="false"/>
          </w:tcPr>
          <w:p>
            <w:pPr>
              <w:pStyle w:val="881"/>
              <w:spacing w:before="68" w:line="264" w:lineRule="auto"/>
              <w:rPr>
                <w:rFonts w:hint="eastAsia" w:ascii="宋体" w:hAnsi="宋体" w:cs="宋体"/>
                <w:color w:val="000000"/>
                <w:spacing w:val="-6"/>
                <w:szCs w:val="21"/>
                <w:highlight w:val="none"/>
              </w:rPr>
            </w:pPr>
            <w:r>
              <w:rPr>
                <w:rFonts w:hint="eastAsia" w:ascii="宋体" w:hAnsi="宋体" w:cs="宋体"/>
                <w:b/>
                <w:bCs/>
                <w:color w:val="000000"/>
                <w:spacing w:val="-3"/>
                <w:szCs w:val="21"/>
                <w:highlight w:val="none"/>
              </w:rPr>
              <w:t xml:space="preserve">6.节能环保</w:t>
            </w:r>
            <w:r>
              <w:rPr>
                <w:rFonts w:hint="eastAsia" w:ascii="宋体" w:hAnsi="宋体" w:cs="宋体"/>
                <w:color w:val="000000"/>
                <w:spacing w:val="-6"/>
                <w:szCs w:val="21"/>
                <w:highlight w:val="none"/>
              </w:rPr>
            </w:r>
            <w:r/>
          </w:p>
        </w:tc>
      </w:tr>
      <w:tr>
        <w:trPr>
          <w:trHeight w:val="676"/>
        </w:trPr>
        <w:tc>
          <w:tcPr>
            <w:tcW w:w="519" w:type="dxa"/>
            <w:vAlign w:val="center"/>
            <w:textDirection w:val="lrTb"/>
            <w:noWrap w:val="false"/>
          </w:tcPr>
          <w:p>
            <w:pPr>
              <w:pStyle w:val="881"/>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6.1</w:t>
            </w:r>
            <w:r>
              <w:rPr>
                <w:rFonts w:hint="eastAsia" w:ascii="宋体" w:hAnsi="宋体" w:cs="宋体"/>
                <w:color w:val="000000"/>
                <w:spacing w:val="-2"/>
                <w:szCs w:val="21"/>
                <w:highlight w:val="none"/>
              </w:rPr>
            </w:r>
            <w:r/>
          </w:p>
        </w:tc>
        <w:tc>
          <w:tcPr>
            <w:tcW w:w="1179" w:type="dxa"/>
            <w:vAlign w:val="center"/>
            <w:textDirection w:val="lrTb"/>
            <w:noWrap w:val="false"/>
          </w:tcPr>
          <w:p>
            <w:pPr>
              <w:pStyle w:val="881"/>
              <w:spacing w:before="69"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节能环保</w:t>
            </w:r>
            <w:r>
              <w:rPr>
                <w:rFonts w:hint="eastAsia" w:ascii="宋体" w:hAnsi="宋体" w:cs="宋体"/>
                <w:color w:val="000000"/>
                <w:spacing w:val="-1"/>
                <w:szCs w:val="21"/>
                <w:highlight w:val="none"/>
              </w:rPr>
            </w:r>
            <w:r/>
          </w:p>
        </w:tc>
        <w:tc>
          <w:tcPr>
            <w:tcW w:w="6330" w:type="dxa"/>
            <w:vAlign w:val="center"/>
            <w:textDirection w:val="lrTb"/>
            <w:noWrap w:val="false"/>
          </w:tcPr>
          <w:p>
            <w:pPr>
              <w:pStyle w:val="881"/>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投标产品属于财政部、生态环境部公布的《环境</w:t>
            </w:r>
            <w:r>
              <w:rPr>
                <w:rFonts w:ascii="宋体" w:hAnsi="宋体" w:cs="宋体"/>
                <w:color w:val="000000"/>
                <w:szCs w:val="21"/>
                <w:highlight w:val="none"/>
              </w:rPr>
              <w:t xml:space="preserve">标志产品政府采购品目清单</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（财库〔2019〕1</w:t>
            </w:r>
            <w:r>
              <w:rPr>
                <w:rFonts w:hint="eastAsia" w:ascii="宋体" w:hAnsi="宋体" w:cs="宋体"/>
                <w:color w:val="000000"/>
                <w:szCs w:val="21"/>
                <w:highlight w:val="none"/>
              </w:rPr>
              <w:t xml:space="preserve">8</w:t>
            </w:r>
            <w:r>
              <w:rPr>
                <w:rFonts w:ascii="宋体" w:hAnsi="宋体" w:cs="宋体"/>
                <w:color w:val="000000"/>
                <w:szCs w:val="21"/>
                <w:highlight w:val="none"/>
              </w:rPr>
              <w:t xml:space="preserve">号）</w:t>
            </w:r>
            <w:r>
              <w:rPr>
                <w:rFonts w:hint="eastAsia" w:ascii="宋体" w:hAnsi="宋体" w:cs="宋体"/>
                <w:color w:val="000000"/>
                <w:szCs w:val="21"/>
                <w:highlight w:val="none"/>
              </w:rPr>
              <w:t xml:space="preserve">范围内的，投标人提供国家确定的认证机构出具的、处于有效期内的该环境标志产品认证证书的，有1个得0.5分，最多得1分。</w:t>
            </w:r>
            <w:r>
              <w:rPr>
                <w:rFonts w:hint="eastAsia" w:ascii="宋体" w:hAnsi="宋体" w:cs="宋体"/>
                <w:color w:val="000000"/>
                <w:szCs w:val="21"/>
                <w:highlight w:val="none"/>
              </w:rPr>
            </w:r>
            <w:r/>
          </w:p>
        </w:tc>
        <w:tc>
          <w:tcPr>
            <w:tcW w:w="647"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900" w:type="dxa"/>
            <w:vAlign w:val="center"/>
            <w:textDirection w:val="lrTb"/>
            <w:noWrap w:val="false"/>
          </w:tcPr>
          <w:p>
            <w:pPr>
              <w:pStyle w:val="881"/>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客观分</w:t>
            </w:r>
            <w:r>
              <w:rPr>
                <w:rFonts w:hint="eastAsia" w:ascii="宋体" w:hAnsi="宋体" w:cs="宋体"/>
                <w:color w:val="000000"/>
                <w:spacing w:val="-6"/>
                <w:szCs w:val="21"/>
                <w:highlight w:val="none"/>
              </w:rPr>
            </w:r>
            <w:r/>
          </w:p>
        </w:tc>
      </w:tr>
      <w:tr>
        <w:trPr>
          <w:trHeight w:val="464"/>
        </w:trPr>
        <w:tc>
          <w:tcPr>
            <w:tcW w:w="519"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pacing w:val="-3"/>
                <w:szCs w:val="21"/>
                <w:highlight w:val="none"/>
              </w:rPr>
              <w:t xml:space="preserve">合</w:t>
            </w:r>
            <w:r>
              <w:rPr>
                <w:rFonts w:hint="eastAsia" w:ascii="宋体" w:hAnsi="宋体" w:cs="宋体"/>
                <w:color w:val="000000"/>
                <w:spacing w:val="-2"/>
                <w:szCs w:val="21"/>
                <w:highlight w:val="none"/>
              </w:rPr>
              <w:t xml:space="preserve">计</w:t>
            </w:r>
            <w:r>
              <w:rPr>
                <w:rFonts w:hint="eastAsia" w:ascii="宋体" w:hAnsi="宋体" w:cs="宋体"/>
                <w:color w:val="000000"/>
                <w:szCs w:val="21"/>
                <w:highlight w:val="none"/>
              </w:rPr>
            </w:r>
            <w:r/>
          </w:p>
        </w:tc>
        <w:tc>
          <w:tcPr>
            <w:gridSpan w:val="2"/>
            <w:tcW w:w="7509" w:type="dxa"/>
            <w:vAlign w:val="center"/>
            <w:textDirection w:val="lrTb"/>
            <w:noWrap w:val="false"/>
          </w:tcPr>
          <w:p>
            <w:pPr>
              <w:pStyle w:val="881"/>
              <w:ind w:left="172"/>
              <w:jc w:val="center"/>
              <w:spacing w:before="123"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r>
            <w:r/>
          </w:p>
        </w:tc>
        <w:tc>
          <w:tcPr>
            <w:gridSpan w:val="2"/>
            <w:tcW w:w="1547" w:type="dxa"/>
            <w:vAlign w:val="center"/>
            <w:textDirection w:val="lrTb"/>
            <w:noWrap w:val="false"/>
          </w:tcPr>
          <w:p>
            <w:pPr>
              <w:pStyle w:val="881"/>
              <w:jc w:val="center"/>
              <w:spacing w:line="264" w:lineRule="auto"/>
              <w:rPr>
                <w:rFonts w:hint="eastAsia" w:ascii="宋体" w:hAnsi="宋体" w:cs="宋体"/>
                <w:color w:val="000000"/>
                <w:szCs w:val="21"/>
                <w:highlight w:val="none"/>
              </w:rPr>
            </w:pPr>
            <w:r>
              <w:rPr>
                <w:rFonts w:hint="eastAsia" w:ascii="宋体" w:hAnsi="宋体" w:cs="宋体"/>
                <w:color w:val="000000"/>
                <w:spacing w:val="-11"/>
                <w:szCs w:val="21"/>
                <w:highlight w:val="none"/>
              </w:rPr>
              <w:t xml:space="preserve">100分</w:t>
            </w:r>
            <w:r>
              <w:rPr>
                <w:rFonts w:hint="eastAsia" w:ascii="宋体" w:hAnsi="宋体" w:cs="宋体"/>
                <w:color w:val="000000"/>
                <w:szCs w:val="21"/>
                <w:highlight w:val="none"/>
              </w:rPr>
            </w:r>
            <w:r/>
          </w:p>
        </w:tc>
      </w:tr>
    </w:tbl>
    <w:p>
      <w:pPr>
        <w:pStyle w:val="881"/>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81"/>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81"/>
        <w:ind w:firstLine="482"/>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81"/>
        <w:spacing w:line="480" w:lineRule="exact"/>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93"/>
        <w:ind w:firstLine="72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81"/>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93"/>
        <w:ind w:firstLine="400"/>
        <w:rPr>
          <w:rFonts w:hint="eastAsia"/>
          <w:color w:val="000000"/>
          <w:highlight w:val="none"/>
        </w:rPr>
      </w:pPr>
      <w:r>
        <w:rPr>
          <w:rFonts w:hint="eastAsia"/>
          <w:color w:val="000000"/>
          <w:highlight w:val="none"/>
        </w:rPr>
      </w:r>
      <w:r/>
    </w:p>
    <w:p>
      <w:pPr>
        <w:pStyle w:val="959"/>
        <w:rPr>
          <w:rFonts w:hint="eastAsia" w:ascii="宋体" w:hAnsi="宋体" w:eastAsia="宋体"/>
          <w:color w:val="000000"/>
          <w:sz w:val="24"/>
          <w:szCs w:val="24"/>
          <w:highlight w:val="none"/>
          <w:lang w:val="en-US"/>
        </w:rPr>
      </w:pPr>
      <w:r>
        <w:rPr>
          <w:rFonts w:hint="eastAsia" w:ascii="宋体" w:hAnsi="宋体" w:eastAsia="宋体"/>
          <w:color w:val="000000"/>
          <w:sz w:val="24"/>
          <w:szCs w:val="24"/>
          <w:highlight w:val="none"/>
          <w:lang w:val="en-US"/>
        </w:rPr>
      </w:r>
      <w:r/>
    </w:p>
    <w:p>
      <w:pPr>
        <w:pStyle w:val="881"/>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3"/>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1"/>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3"/>
        <w:rPr>
          <w:rFonts w:hint="eastAsia"/>
          <w:color w:val="000000"/>
          <w:highlight w:val="none"/>
        </w:rPr>
      </w:pPr>
      <w:r>
        <w:rPr>
          <w:rFonts w:hint="eastAsia"/>
          <w:color w:val="000000"/>
          <w:highlight w:val="none"/>
        </w:rPr>
      </w:r>
      <w:r/>
    </w:p>
    <w:p>
      <w:pPr>
        <w:pStyle w:val="893"/>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r/>
    </w:p>
    <w:p>
      <w:pPr>
        <w:pStyle w:val="881"/>
        <w:rPr>
          <w:rFonts w:hint="eastAsia"/>
          <w:color w:val="000000"/>
          <w:highlight w:val="none"/>
        </w:rPr>
      </w:pPr>
      <w:r>
        <w:rPr>
          <w:rFonts w:hint="eastAsia"/>
          <w:color w:val="000000"/>
          <w:highlight w:val="none"/>
        </w:rPr>
      </w:r>
      <w:r/>
    </w:p>
    <w:p>
      <w:pPr>
        <w:pStyle w:val="893"/>
        <w:ind w:firstLine="400"/>
        <w:rPr>
          <w:rFonts w:hint="eastAsia"/>
          <w:color w:val="000000"/>
          <w:highlight w:val="none"/>
        </w:rPr>
      </w:pPr>
      <w:r>
        <w:rPr>
          <w:rFonts w:hint="eastAsia"/>
          <w:color w:val="000000"/>
          <w:highlight w:val="none"/>
        </w:rPr>
      </w:r>
      <w:r>
        <w:rPr>
          <w:rFonts w:hint="eastAsia"/>
          <w:color w:val="000000"/>
          <w:highlight w:val="none"/>
        </w:rPr>
      </w:r>
      <w:r/>
    </w:p>
    <w:p>
      <w:pPr>
        <w:pStyle w:val="893"/>
        <w:ind w:firstLine="400"/>
        <w:rPr>
          <w:rFonts w:hint="eastAsia"/>
          <w:color w:val="000000"/>
          <w:highlight w:val="none"/>
        </w:rPr>
      </w:pPr>
      <w:r>
        <w:rPr>
          <w:rFonts w:hint="eastAsia"/>
          <w:color w:val="000000"/>
          <w:highlight w:val="none"/>
        </w:rPr>
      </w:r>
      <w:r>
        <w:rPr>
          <w:rFonts w:hint="eastAsia"/>
          <w:color w:val="000000"/>
          <w:highlight w:val="none"/>
        </w:rPr>
      </w:r>
      <w:r/>
    </w:p>
    <w:p>
      <w:pPr>
        <w:pStyle w:val="893"/>
        <w:ind w:firstLine="400"/>
        <w:rPr>
          <w:rFonts w:hint="eastAsia"/>
          <w:color w:val="000000"/>
          <w:highlight w:val="none"/>
        </w:rPr>
      </w:pPr>
      <w:r>
        <w:rPr>
          <w:rFonts w:hint="eastAsia"/>
          <w:color w:val="000000"/>
          <w:highlight w:val="none"/>
        </w:rPr>
      </w:r>
      <w:r>
        <w:rPr>
          <w:rFonts w:hint="eastAsia"/>
          <w:color w:val="000000"/>
          <w:highlight w:val="none"/>
        </w:rPr>
      </w:r>
      <w:r/>
    </w:p>
    <w:p>
      <w:pPr>
        <w:pStyle w:val="893"/>
        <w:ind w:firstLine="400"/>
        <w:rPr>
          <w:rFonts w:hint="eastAsia"/>
          <w:color w:val="000000"/>
          <w:highlight w:val="none"/>
        </w:rPr>
      </w:pPr>
      <w:r>
        <w:rPr>
          <w:rFonts w:hint="eastAsia"/>
          <w:color w:val="000000"/>
          <w:highlight w:val="none"/>
        </w:rPr>
      </w:r>
      <w:r/>
    </w:p>
    <w:p>
      <w:pPr>
        <w:pStyle w:val="88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w:t>
      </w:r>
      <w:bookmarkEnd w:id="193"/>
      <w:r/>
      <w:bookmarkEnd w:id="194"/>
      <w:r/>
      <w:bookmarkEnd w:id="196"/>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881"/>
        <w:jc w:val="center"/>
        <w:rPr>
          <w:rFonts w:hint="eastAsia" w:ascii="宋体" w:hAnsi="宋体"/>
          <w:b/>
          <w:color w:val="000000"/>
          <w:sz w:val="72"/>
          <w:szCs w:val="21"/>
          <w:highlight w:val="none"/>
        </w:rPr>
      </w:pPr>
      <w:r/>
      <w:bookmarkStart w:id="197" w:name="_Hlt26671244"/>
      <w:r/>
      <w:bookmarkEnd w:id="197"/>
      <w:r/>
      <w:bookmarkStart w:id="198" w:name="_Hlt26955039"/>
      <w:r/>
      <w:bookmarkEnd w:id="198"/>
      <w:r/>
      <w:bookmarkStart w:id="199" w:name="_Toc120614282"/>
      <w:r/>
      <w:bookmarkStart w:id="200" w:name="_Toc49090576"/>
      <w:r/>
      <w:bookmarkStart w:id="201" w:name="_Toc26554094"/>
      <w:r>
        <w:rPr>
          <w:rFonts w:hint="eastAsia" w:ascii="宋体" w:hAnsi="宋体"/>
          <w:b/>
          <w:color w:val="000000"/>
          <w:sz w:val="72"/>
          <w:szCs w:val="21"/>
          <w:highlight w:val="none"/>
        </w:rPr>
      </w:r>
      <w:r/>
    </w:p>
    <w:p>
      <w:pPr>
        <w:pStyle w:val="881"/>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8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8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8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8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8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81"/>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rPr>
      </w:r>
      <w:r/>
    </w:p>
    <w:p>
      <w:pPr>
        <w:pStyle w:val="881"/>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881"/>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   </w:t>
      </w:r>
      <w:r>
        <w:rPr>
          <w:rFonts w:ascii="宋体" w:hAnsi="宋体"/>
          <w:b/>
          <w:color w:val="000000"/>
          <w:sz w:val="36"/>
          <w:szCs w:val="21"/>
          <w:highlight w:val="none"/>
          <w:u w:val="single"/>
        </w:rPr>
      </w:r>
      <w:r/>
    </w:p>
    <w:p>
      <w:pPr>
        <w:pStyle w:val="881"/>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88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81"/>
        <w:spacing w:line="440" w:lineRule="exact"/>
        <w:rPr>
          <w:rFonts w:ascii="宋体" w:hAnsi="宋体"/>
          <w:color w:val="000000"/>
          <w:szCs w:val="21"/>
          <w:highlight w:val="none"/>
        </w:rPr>
      </w:pPr>
      <w:r>
        <w:rPr>
          <w:rFonts w:ascii="宋体" w:hAnsi="宋体"/>
          <w:color w:val="000000"/>
          <w:szCs w:val="21"/>
          <w:highlight w:val="none"/>
        </w:rPr>
      </w:r>
      <w:r/>
    </w:p>
    <w:p>
      <w:pPr>
        <w:pStyle w:val="881"/>
        <w:jc w:val="center"/>
        <w:rPr>
          <w:rFonts w:hint="eastAsia" w:ascii="方正黑体_GBK" w:hAnsi="方正黑体_GBK" w:eastAsia="方正黑体_GBK" w:cs="方正黑体_GBK"/>
          <w:color w:val="000000"/>
          <w:sz w:val="32"/>
          <w:szCs w:val="32"/>
          <w:highlight w:val="none"/>
        </w:rPr>
      </w:pPr>
      <w:r>
        <w:rPr>
          <w:rFonts w:ascii="宋体" w:hAnsi="宋体"/>
          <w:b/>
          <w:color w:val="000000"/>
          <w:sz w:val="36"/>
          <w:szCs w:val="21"/>
          <w:highlight w:val="none"/>
          <w:u w:val="single"/>
        </w:rPr>
        <w:br w:type="page" w:clear="all"/>
      </w:r>
      <w:bookmarkEnd w:id="190"/>
      <w:r/>
      <w:bookmarkEnd w:id="191"/>
      <w:r/>
      <w:bookmarkEnd w:id="199"/>
      <w:r/>
      <w:bookmarkEnd w:id="200"/>
      <w:r/>
      <w:bookmarkEnd w:id="201"/>
      <w:r>
        <w:rPr>
          <w:rFonts w:hint="eastAsia" w:ascii="方正黑体_GBK" w:hAnsi="方正黑体_GBK" w:eastAsia="方正黑体_GBK" w:cs="方正黑体_GBK"/>
          <w:color w:val="000000"/>
          <w:sz w:val="32"/>
          <w:szCs w:val="32"/>
          <w:highlight w:val="none"/>
        </w:rPr>
        <w:t xml:space="preserve">投标文件目录</w:t>
      </w:r>
      <w:r>
        <w:rPr>
          <w:rFonts w:hint="eastAsia" w:ascii="方正黑体_GBK" w:hAnsi="方正黑体_GBK" w:eastAsia="方正黑体_GBK" w:cs="方正黑体_GBK"/>
          <w:color w:val="000000"/>
          <w:sz w:val="32"/>
          <w:szCs w:val="32"/>
          <w:highlight w:val="none"/>
        </w:rPr>
      </w:r>
      <w:r/>
    </w:p>
    <w:p>
      <w:pPr>
        <w:pStyle w:val="881"/>
        <w:ind w:firstLine="560"/>
        <w:spacing w:line="600" w:lineRule="exact"/>
        <w:rPr>
          <w:rFonts w:hint="eastAsia" w:ascii="宋体" w:hAnsi="宋体" w:cs="宋体"/>
          <w:color w:val="000000"/>
          <w:sz w:val="28"/>
          <w:szCs w:val="28"/>
          <w:highlight w:val="none"/>
        </w:rPr>
      </w:pPr>
      <w:r/>
      <w:bookmarkStart w:id="202" w:name="_Toc120614284"/>
      <w:r>
        <w:rPr>
          <w:rFonts w:hint="eastAsia" w:ascii="宋体" w:hAnsi="宋体" w:cs="宋体"/>
          <w:color w:val="000000"/>
          <w:sz w:val="28"/>
          <w:szCs w:val="28"/>
          <w:highlight w:val="none"/>
        </w:rPr>
        <w:t xml:space="preserve">一、供应商信用承诺函</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二、满足特定资格要求的证明文件（如有特定资格要求）</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三、法人授权书</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四、投标函</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五、开标一览表</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六、核心产品品牌一览表</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七、投标分项报价表（如有）</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八、技术要求响应及偏离表</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九、商务要求响应及偏离表</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十、中小企业声明函（如有）</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十一、残疾人福利性单位声明函（如有）</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十二、联合体协议（如有）</w:t>
      </w:r>
      <w:r>
        <w:rPr>
          <w:rFonts w:hint="eastAsia" w:ascii="宋体" w:hAnsi="宋体" w:cs="宋体"/>
          <w:color w:val="000000"/>
          <w:sz w:val="28"/>
          <w:szCs w:val="28"/>
          <w:highlight w:val="none"/>
        </w:rPr>
      </w:r>
      <w:r/>
    </w:p>
    <w:p>
      <w:pPr>
        <w:pStyle w:val="881"/>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1"/>
        <w:ind w:firstLine="480"/>
        <w:spacing w:line="440" w:lineRule="exact"/>
        <w:rPr>
          <w:rFonts w:ascii="宋体" w:hAnsi="宋体"/>
          <w:color w:val="000000"/>
          <w:sz w:val="24"/>
          <w:highlight w:val="none"/>
        </w:rPr>
      </w:pPr>
      <w:r>
        <w:rPr>
          <w:rFonts w:ascii="宋体" w:hAnsi="宋体"/>
          <w:color w:val="000000"/>
          <w:sz w:val="24"/>
          <w:highlight w:val="none"/>
        </w:rPr>
      </w:r>
      <w:r/>
    </w:p>
    <w:p>
      <w:pPr>
        <w:pStyle w:val="881"/>
        <w:ind w:firstLine="480"/>
        <w:spacing w:line="440" w:lineRule="exact"/>
        <w:rPr>
          <w:rFonts w:ascii="宋体" w:hAnsi="宋体"/>
          <w:color w:val="000000"/>
          <w:sz w:val="24"/>
          <w:highlight w:val="none"/>
        </w:rPr>
      </w:pPr>
      <w:r>
        <w:rPr>
          <w:rFonts w:ascii="宋体" w:hAnsi="宋体"/>
          <w:color w:val="000000"/>
          <w:sz w:val="24"/>
          <w:highlight w:val="none"/>
        </w:rPr>
      </w:r>
      <w:r/>
    </w:p>
    <w:p>
      <w:pPr>
        <w:pStyle w:val="881"/>
        <w:ind w:firstLine="480"/>
        <w:spacing w:line="440" w:lineRule="exact"/>
        <w:rPr>
          <w:rFonts w:ascii="宋体" w:hAnsi="宋体"/>
          <w:color w:val="000000"/>
          <w:sz w:val="24"/>
          <w:highlight w:val="none"/>
        </w:rPr>
      </w:pPr>
      <w:r>
        <w:rPr>
          <w:rFonts w:ascii="宋体" w:hAnsi="宋体"/>
          <w:color w:val="000000"/>
          <w:sz w:val="24"/>
          <w:highlight w:val="none"/>
        </w:rPr>
      </w:r>
      <w:r/>
    </w:p>
    <w:p>
      <w:pPr>
        <w:pStyle w:val="997"/>
        <w:rPr>
          <w:color w:val="000000"/>
          <w:sz w:val="24"/>
          <w:highlight w:val="none"/>
        </w:rPr>
      </w:pPr>
      <w:r>
        <w:rPr>
          <w:color w:val="000000"/>
          <w:sz w:val="24"/>
          <w:highlight w:val="none"/>
        </w:rPr>
      </w:r>
      <w:r/>
    </w:p>
    <w:p>
      <w:pPr>
        <w:pStyle w:val="997"/>
        <w:rPr>
          <w:color w:val="000000"/>
          <w:sz w:val="24"/>
          <w:highlight w:val="none"/>
        </w:rPr>
      </w:pPr>
      <w:r>
        <w:rPr>
          <w:color w:val="000000"/>
          <w:sz w:val="24"/>
          <w:highlight w:val="none"/>
        </w:rPr>
      </w:r>
      <w:r/>
    </w:p>
    <w:p>
      <w:pPr>
        <w:pStyle w:val="997"/>
        <w:rPr>
          <w:color w:val="000000"/>
          <w:sz w:val="24"/>
          <w:highlight w:val="none"/>
        </w:rPr>
      </w:pPr>
      <w:r>
        <w:rPr>
          <w:color w:val="000000"/>
          <w:sz w:val="24"/>
          <w:highlight w:val="none"/>
        </w:rPr>
      </w:r>
      <w:r/>
    </w:p>
    <w:p>
      <w:pPr>
        <w:pStyle w:val="997"/>
        <w:rPr>
          <w:color w:val="000000"/>
          <w:sz w:val="24"/>
          <w:highlight w:val="none"/>
        </w:rPr>
      </w:pPr>
      <w:r>
        <w:rPr>
          <w:color w:val="000000"/>
          <w:sz w:val="24"/>
          <w:highlight w:val="non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一、供应商信用承诺函</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供应商信用承诺函</w:t>
      </w:r>
      <w:r>
        <w:rPr>
          <w:rFonts w:hint="eastAsia" w:ascii="方正小标宋简体" w:hAnsi="方正小标宋简体" w:eastAsia="方正小标宋简体" w:cs="方正小标宋简体"/>
          <w:color w:val="000000"/>
          <w:sz w:val="32"/>
          <w:szCs w:val="32"/>
          <w:highlight w:val="none"/>
        </w:rPr>
      </w:r>
      <w:r/>
    </w:p>
    <w:p>
      <w:pPr>
        <w:pStyle w:val="881"/>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南京市公共资源交易中心：</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（供应商名称）郑重承诺：</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我公司符合下列要求：</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如果我公司中标，将在中标结果公示后七个工作日内向采购人提供下列材料核验：</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（1）营业执照副本或事业单位法人登记证书或其他证明材料；</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rPr>
          <w:rFonts w:hint="eastAsia" w:ascii="宋体" w:hAnsi="宋体"/>
          <w:color w:val="000000"/>
          <w:sz w:val="24"/>
          <w:szCs w:val="24"/>
          <w:highlight w:val="none"/>
        </w:rPr>
      </w:r>
      <w:r/>
    </w:p>
    <w:p>
      <w:pPr>
        <w:pStyle w:val="881"/>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rPr>
          <w:rFonts w:hint="eastAsia" w:ascii="宋体" w:hAnsi="宋体"/>
          <w:color w:val="000000"/>
          <w:sz w:val="24"/>
          <w:szCs w:val="24"/>
          <w:highlight w:val="none"/>
        </w:rPr>
      </w:r>
      <w:r/>
    </w:p>
    <w:p>
      <w:pPr>
        <w:pStyle w:val="881"/>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本公司对上述承诺内容的真实性、合法性、有效性负责，如有虚假，将依法承担相应责任。</w:t>
      </w:r>
      <w:r>
        <w:rPr>
          <w:rFonts w:hint="eastAsia"/>
          <w:color w:val="000000"/>
          <w:sz w:val="24"/>
          <w:szCs w:val="24"/>
          <w:highlight w:val="none"/>
        </w:rPr>
      </w:r>
      <w:r/>
    </w:p>
    <w:p>
      <w:pPr>
        <w:pStyle w:val="881"/>
        <w:ind w:firstLine="492"/>
        <w:spacing w:line="460" w:lineRule="exact"/>
        <w:rPr>
          <w:color w:val="000000"/>
          <w:sz w:val="24"/>
          <w:szCs w:val="24"/>
          <w:highlight w:val="none"/>
        </w:rPr>
      </w:pPr>
      <w:r>
        <w:rPr>
          <w:color w:val="000000"/>
          <w:sz w:val="24"/>
          <w:szCs w:val="24"/>
          <w:highlight w:val="none"/>
        </w:rPr>
      </w:r>
      <w:r/>
    </w:p>
    <w:p>
      <w:pPr>
        <w:pStyle w:val="998"/>
        <w:rPr>
          <w:color w:val="000000"/>
          <w:sz w:val="24"/>
          <w:szCs w:val="24"/>
          <w:highlight w:val="none"/>
        </w:rPr>
      </w:pPr>
      <w:r>
        <w:rPr>
          <w:color w:val="000000"/>
          <w:sz w:val="24"/>
          <w:szCs w:val="24"/>
          <w:highlight w:val="none"/>
        </w:rPr>
      </w:r>
      <w:r/>
    </w:p>
    <w:p>
      <w:pPr>
        <w:pStyle w:val="881"/>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rPr>
          <w:rFonts w:hint="eastAsia" w:ascii="宋体" w:hAnsi="宋体"/>
          <w:color w:val="000000"/>
          <w:sz w:val="24"/>
          <w:szCs w:val="24"/>
          <w:highlight w:val="none"/>
        </w:rPr>
      </w:r>
      <w:r/>
    </w:p>
    <w:p>
      <w:pPr>
        <w:pStyle w:val="881"/>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81"/>
        <w:rPr>
          <w:color w:val="000000"/>
          <w:sz w:val="24"/>
          <w:szCs w:val="24"/>
          <w:highlight w:val="none"/>
        </w:rPr>
      </w:pPr>
      <w:r>
        <w:rPr>
          <w:color w:val="000000"/>
          <w:sz w:val="24"/>
          <w:szCs w:val="24"/>
          <w:highlight w:val="none"/>
        </w:rPr>
      </w:r>
      <w:r/>
    </w:p>
    <w:p>
      <w:pPr>
        <w:pStyle w:val="881"/>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rPr>
          <w:rFonts w:hint="eastAsia" w:ascii="黑体" w:hAnsi="黑体" w:eastAsia="黑体"/>
          <w:i/>
          <w:color w:val="000000"/>
          <w:sz w:val="32"/>
          <w:szCs w:val="32"/>
          <w:highlight w:val="none"/>
          <w:u w:val="single"/>
        </w:rPr>
      </w:pPr>
      <w:r>
        <w:rPr>
          <w:rFonts w:hint="eastAsia" w:ascii="黑体" w:hAnsi="黑体" w:eastAsia="黑体"/>
          <w:color w:val="000000"/>
          <w:sz w:val="32"/>
          <w:szCs w:val="32"/>
          <w:highlight w:val="none"/>
        </w:rPr>
        <w:t xml:space="preserve">二、满足特定资格要求的证明文件</w:t>
      </w:r>
      <w:r>
        <w:rPr>
          <w:rFonts w:hint="eastAsia" w:ascii="黑体" w:hAnsi="黑体" w:eastAsia="黑体"/>
          <w:i/>
          <w:color w:val="000000"/>
          <w:sz w:val="32"/>
          <w:szCs w:val="32"/>
          <w:highlight w:val="none"/>
          <w:u w:val="single"/>
        </w:rPr>
      </w:r>
      <w:r/>
    </w:p>
    <w:p>
      <w:pPr>
        <w:pStyle w:val="968"/>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本项目申请人的特定资格要求中要求提供的材料。</w:t>
      </w:r>
      <w:r>
        <w:rPr>
          <w:rFonts w:hint="eastAsia"/>
          <w:color w:val="000000"/>
          <w:sz w:val="24"/>
          <w:szCs w:val="24"/>
          <w:highlight w:val="non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999"/>
        <w:rPr>
          <w:rFonts w:hint="eastAsia"/>
          <w:color w:val="000000"/>
          <w:highlight w:val="none"/>
          <w:lang w:eastAsia="zh-CN"/>
        </w:rPr>
      </w:pPr>
      <w:r>
        <w:rPr>
          <w:rFonts w:hint="eastAsia"/>
          <w:color w:val="000000"/>
          <w:highlight w:val="none"/>
          <w:lang w:eastAsia="zh-CN"/>
        </w:rPr>
      </w:r>
      <w:r/>
    </w:p>
    <w:p>
      <w:pPr>
        <w:pStyle w:val="881"/>
        <w:rPr>
          <w:rFonts w:hint="eastAsia"/>
          <w:color w:val="000000"/>
          <w:highlight w:val="none"/>
        </w:rPr>
      </w:pPr>
      <w:r>
        <w:rPr>
          <w:rFonts w:hint="eastAsia"/>
          <w:color w:val="000000"/>
          <w:highlight w:val="non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三、法人授权书</w:t>
      </w:r>
      <w:r>
        <w:rPr>
          <w:rFonts w:hint="eastAsia" w:ascii="黑体" w:hAnsi="黑体" w:eastAsia="黑体"/>
          <w:color w:val="000000"/>
          <w:sz w:val="32"/>
          <w:szCs w:val="32"/>
          <w:highlight w:val="none"/>
        </w:rPr>
      </w:r>
      <w:r/>
    </w:p>
    <w:p>
      <w:pPr>
        <w:pStyle w:val="881"/>
        <w:jc w:val="center"/>
        <w:spacing w:line="420" w:lineRule="exact"/>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法人授权书</w:t>
      </w:r>
      <w:r>
        <w:rPr>
          <w:rFonts w:hint="eastAsia" w:ascii="方正小标宋简体" w:hAnsi="方正小标宋简体" w:eastAsia="方正小标宋简体" w:cs="方正小标宋简体"/>
          <w:color w:val="000000"/>
          <w:sz w:val="32"/>
          <w:szCs w:val="32"/>
          <w:highlight w:val="none"/>
        </w:rPr>
      </w:r>
      <w:r/>
    </w:p>
    <w:p>
      <w:pPr>
        <w:pStyle w:val="968"/>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（被授权人姓名）作为我方参加编号为</w:t>
      </w:r>
      <w:r>
        <w:rPr>
          <w:rFonts w:hint="eastAsia" w:ascii="宋体" w:hAnsi="宋体"/>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96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本授权书自______年____月____日起生效，特此声明。</w:t>
      </w:r>
      <w:r>
        <w:rPr>
          <w:rFonts w:hint="eastAsia"/>
          <w:color w:val="000000"/>
          <w:sz w:val="24"/>
          <w:szCs w:val="24"/>
          <w:highlight w:val="none"/>
        </w:rPr>
      </w:r>
      <w:r/>
    </w:p>
    <w:p>
      <w:pPr>
        <w:pStyle w:val="96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968"/>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被授权人联系电话：（手机）</w:t>
      </w:r>
      <w:r>
        <w:rPr>
          <w:rFonts w:hint="eastAsia"/>
          <w:color w:val="000000"/>
          <w:sz w:val="24"/>
          <w:szCs w:val="24"/>
          <w:highlight w:val="none"/>
          <w:u w:val="single"/>
        </w:rPr>
      </w:r>
      <w:r/>
    </w:p>
    <w:p>
      <w:pPr>
        <w:pStyle w:val="968"/>
        <w:ind w:firstLine="480"/>
        <w:spacing w:line="480" w:lineRule="exact"/>
        <w:tabs>
          <w:tab w:val="left" w:pos="360" w:leader="none"/>
        </w:tabs>
        <w:rPr>
          <w:color w:val="000000"/>
          <w:sz w:val="24"/>
          <w:szCs w:val="24"/>
          <w:highlight w:val="none"/>
        </w:rPr>
      </w:pPr>
      <w:r>
        <w:rPr>
          <w:rFonts w:hint="eastAsia"/>
          <w:color w:val="000000"/>
          <w:sz w:val="24"/>
          <w:szCs w:val="24"/>
          <w:highlight w:val="none"/>
        </w:rPr>
        <w:t xml:space="preserve">单位名称：</w:t>
      </w:r>
      <w:r>
        <w:rPr>
          <w:rFonts w:hint="eastAsia" w:ascii="宋体" w:hAnsi="宋体" w:cs="宋体"/>
          <w:color w:val="000000"/>
          <w:sz w:val="24"/>
          <w:szCs w:val="24"/>
          <w:highlight w:val="none"/>
        </w:rPr>
        <w:t xml:space="preserve">（加盖电子公章）</w:t>
      </w:r>
      <w:r>
        <w:rPr>
          <w:color w:val="000000"/>
          <w:sz w:val="24"/>
          <w:szCs w:val="24"/>
          <w:highlight w:val="none"/>
        </w:rPr>
      </w:r>
      <w:r/>
    </w:p>
    <w:p>
      <w:pPr>
        <w:pStyle w:val="968"/>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968"/>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    期：</w:t>
      </w:r>
      <w:bookmarkStart w:id="203" w:name="_格式3__银行出具的资信证明"/>
      <w:r/>
      <w:bookmarkEnd w:id="203"/>
      <w:r/>
      <w:bookmarkStart w:id="204" w:name="_Hlt26671380"/>
      <w:r/>
      <w:bookmarkEnd w:id="204"/>
      <w:r/>
      <w:bookmarkStart w:id="205" w:name="_Hlt26955070"/>
      <w:r/>
      <w:bookmarkEnd w:id="205"/>
      <w:r>
        <w:rPr>
          <w:rFonts w:hint="eastAsia"/>
          <w:color w:val="000000"/>
          <w:sz w:val="24"/>
          <w:szCs w:val="24"/>
          <w:highlight w:val="none"/>
        </w:rPr>
      </w:r>
      <w:r/>
    </w:p>
    <w:p>
      <w:pPr>
        <w:pStyle w:val="900"/>
        <w:rPr>
          <w:rFonts w:hint="eastAsia"/>
          <w:i/>
          <w:color w:val="000000"/>
          <w:sz w:val="24"/>
          <w:szCs w:val="24"/>
          <w:highlight w:val="none"/>
          <w:u w:val="single"/>
        </w:rPr>
      </w:pPr>
      <w:r>
        <w:rPr>
          <w:rFonts w:hint="eastAsia"/>
          <w:i/>
          <w:color w:val="000000"/>
          <w:sz w:val="24"/>
          <w:szCs w:val="24"/>
          <w:highlight w:val="none"/>
          <w:u w:val="single"/>
        </w:rPr>
      </w:r>
      <w:r/>
    </w:p>
    <w:p>
      <w:pPr>
        <w:pStyle w:val="900"/>
        <w:ind w:firstLine="0"/>
        <w:rPr>
          <w:rFonts w:hint="eastAsia"/>
          <w:color w:val="000000"/>
          <w:highlight w:val="none"/>
        </w:rPr>
      </w:pPr>
      <w:r>
        <w:rPr>
          <w:rFonts w:hint="eastAsia"/>
          <w:color w:val="000000"/>
          <w:highlight w:val="none"/>
        </w:rPr>
      </w:r>
      <w:r/>
    </w:p>
    <w:p>
      <w:pPr>
        <w:pStyle w:val="881"/>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pStyle w:val="881"/>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97"/>
        <w:rPr>
          <w:rFonts w:hint="eastAsia"/>
          <w:bCs/>
          <w:color w:val="000000"/>
          <w:sz w:val="24"/>
          <w:highlight w:val="none"/>
        </w:rPr>
      </w:pPr>
      <w:r>
        <w:rPr>
          <w:rFonts w:hint="eastAsia"/>
          <w:bCs/>
          <w:color w:val="000000"/>
          <w:sz w:val="24"/>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四、投标函</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投标函</w:t>
      </w:r>
      <w:r>
        <w:rPr>
          <w:rFonts w:hint="eastAsia" w:ascii="方正小标宋简体" w:hAnsi="方正小标宋简体" w:eastAsia="方正小标宋简体" w:cs="方正小标宋简体"/>
          <w:color w:val="000000"/>
          <w:sz w:val="32"/>
          <w:szCs w:val="32"/>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致：南京市公共资源交易中心</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根据贵方编号为</w:t>
      </w:r>
      <w:r>
        <w:rPr>
          <w:rFonts w:hint="eastAsia" w:ascii="宋体" w:hAnsi="宋体"/>
          <w:color w:val="000000"/>
          <w:highlight w:val="none"/>
          <w:u w:val="single"/>
        </w:rPr>
        <w:t xml:space="preserve">                             </w:t>
      </w:r>
      <w:r>
        <w:rPr>
          <w:rFonts w:hint="eastAsia" w:ascii="宋体" w:hAnsi="宋体"/>
          <w:color w:val="000000"/>
          <w:highlight w:val="none"/>
        </w:rPr>
        <w:t xml:space="preserve">的</w:t>
      </w:r>
      <w:r>
        <w:rPr>
          <w:rFonts w:hint="eastAsia" w:ascii="宋体" w:hAnsi="宋体"/>
          <w:color w:val="000000"/>
          <w:szCs w:val="21"/>
          <w:highlight w:val="none"/>
        </w:rPr>
        <w:t xml:space="preserve">项目</w:t>
      </w:r>
      <w:r>
        <w:rPr>
          <w:rFonts w:hint="eastAsia" w:ascii="宋体" w:hAnsi="宋体"/>
          <w:color w:val="000000"/>
          <w:szCs w:val="21"/>
          <w:highlight w:val="none"/>
        </w:rPr>
        <w:t xml:space="preserve">招标文件，我方正式提</w:t>
      </w:r>
      <w:r>
        <w:rPr>
          <w:rFonts w:hint="eastAsia" w:ascii="宋体" w:hAnsi="宋体" w:cs="宋体"/>
          <w:color w:val="000000"/>
          <w:highlight w:val="none"/>
        </w:rPr>
        <w:t xml:space="preserve">交投标函，</w:t>
      </w:r>
      <w:r>
        <w:rPr>
          <w:rFonts w:hint="eastAsia" w:ascii="宋体" w:hAnsi="宋体"/>
          <w:color w:val="000000"/>
          <w:szCs w:val="21"/>
          <w:highlight w:val="none"/>
        </w:rPr>
        <w:t xml:space="preserve">并宣布同意如下内容：</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1.按招标文件规定的各项要求，向买方提供所需货物（包含与货物相关的服务）。</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highlight w:val="none"/>
        </w:rPr>
      </w:r>
      <w:r/>
    </w:p>
    <w:p>
      <w:pPr>
        <w:pStyle w:val="881"/>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8.我方与本次投标有关信息</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970"/>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电  话：</w:t>
      </w:r>
      <w:r>
        <w:rPr>
          <w:rFonts w:hint="eastAsia" w:ascii="宋体" w:hAnsi="宋体"/>
          <w:color w:val="000000"/>
          <w:szCs w:val="21"/>
          <w:highlight w:val="none"/>
          <w:u w:val="single"/>
        </w:rPr>
      </w:r>
      <w:r/>
    </w:p>
    <w:p>
      <w:pPr>
        <w:pStyle w:val="970"/>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传  真：</w:t>
      </w:r>
      <w:r>
        <w:rPr>
          <w:rFonts w:hint="eastAsia" w:ascii="宋体" w:hAnsi="宋体"/>
          <w:color w:val="000000"/>
          <w:szCs w:val="21"/>
          <w:highlight w:val="none"/>
          <w:u w:val="single"/>
        </w:rPr>
      </w:r>
      <w:r/>
    </w:p>
    <w:p>
      <w:pPr>
        <w:pStyle w:val="970"/>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开户行：</w:t>
      </w:r>
      <w:r>
        <w:rPr>
          <w:rFonts w:hint="eastAsia" w:ascii="宋体" w:hAnsi="宋体"/>
          <w:color w:val="000000"/>
          <w:szCs w:val="21"/>
          <w:highlight w:val="none"/>
          <w:u w:val="single"/>
        </w:rPr>
      </w:r>
      <w:r/>
    </w:p>
    <w:p>
      <w:pPr>
        <w:pStyle w:val="970"/>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账  号：</w:t>
      </w:r>
      <w:r>
        <w:rPr>
          <w:rFonts w:hint="eastAsia" w:ascii="宋体" w:hAnsi="宋体"/>
          <w:color w:val="000000"/>
          <w:szCs w:val="21"/>
          <w:highlight w:val="none"/>
          <w:u w:val="single"/>
        </w:rPr>
      </w:r>
      <w:r/>
    </w:p>
    <w:p>
      <w:pPr>
        <w:pStyle w:val="881"/>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97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88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8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81"/>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五、开标一览表</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rPr>
          <w:rFonts w:hint="eastAsia" w:ascii="方正小标宋简体" w:hAnsi="方正小标宋简体" w:eastAsia="方正小标宋简体" w:cs="方正小标宋简体"/>
          <w:color w:val="000000"/>
          <w:sz w:val="32"/>
          <w:szCs w:val="32"/>
          <w:highlight w:val="none"/>
        </w:rPr>
      </w:r>
      <w:r/>
    </w:p>
    <w:p>
      <w:pPr>
        <w:pStyle w:val="881"/>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81"/>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81"/>
        <w:rPr>
          <w:rFonts w:ascii="宋体" w:hAnsi="宋体"/>
          <w:color w:val="000000"/>
          <w:sz w:val="24"/>
          <w:szCs w:val="24"/>
          <w:highlight w:val="none"/>
        </w:rPr>
      </w:pPr>
      <w:r>
        <w:rPr>
          <w:rFonts w:hint="eastAsia" w:ascii="宋体" w:hAnsi="宋体"/>
          <w:color w:val="000000"/>
          <w:sz w:val="24"/>
          <w:szCs w:val="24"/>
          <w:highlight w:val="none"/>
        </w:rPr>
        <w:t xml:space="preserve">项目编号：                                   采购包号：</w:t>
      </w:r>
      <w:r>
        <w:rPr>
          <w:rFonts w:ascii="宋体" w:hAnsi="宋体"/>
          <w:color w:val="000000"/>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20"/>
        </w:trPr>
        <w:tc>
          <w:tcPr>
            <w:tcW w:w="9450" w:type="dxa"/>
            <w:vAlign w:val="center"/>
            <w:textDirection w:val="lrTb"/>
            <w:noWrap w:val="false"/>
          </w:tcPr>
          <w:p>
            <w:pPr>
              <w:pStyle w:val="970"/>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81"/>
        <w:rPr>
          <w:rFonts w:ascii="宋体" w:hAnsi="宋体"/>
          <w:color w:val="000000"/>
          <w:sz w:val="24"/>
          <w:szCs w:val="24"/>
          <w:highlight w:val="none"/>
        </w:rPr>
      </w:pPr>
      <w:r>
        <w:rPr>
          <w:rFonts w:ascii="宋体" w:hAnsi="宋体"/>
          <w:color w:val="000000"/>
          <w:sz w:val="24"/>
          <w:szCs w:val="24"/>
          <w:highlight w:val="none"/>
        </w:rPr>
      </w:r>
      <w:r/>
    </w:p>
    <w:p>
      <w:pPr>
        <w:pStyle w:val="881"/>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rPr>
          <w:rFonts w:hint="eastAsia" w:ascii="黑体" w:hAnsi="黑体" w:eastAsia="黑体"/>
          <w:b/>
          <w:i/>
          <w:color w:val="000000"/>
          <w:sz w:val="32"/>
          <w:szCs w:val="32"/>
          <w:highlight w:val="none"/>
          <w:u w:val="single"/>
        </w:rPr>
      </w:r>
      <w:r/>
    </w:p>
    <w:p>
      <w:pPr>
        <w:pStyle w:val="881"/>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81"/>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81"/>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备注：投标人报价低于采购项目预算50%，或者低于采购项目最高限价45%，或者</w:t>
      </w:r>
      <w:r>
        <w:rPr>
          <w:rFonts w:hint="eastAsia" w:ascii="宋体" w:hAnsi="宋体"/>
          <w:b/>
          <w:bCs/>
          <w:color w:val="000000"/>
          <w:sz w:val="24"/>
          <w:szCs w:val="24"/>
          <w:highlight w:val="none"/>
          <w:lang w:val="zh-CN"/>
        </w:rPr>
        <w:t xml:space="preserve">报价</w:t>
      </w:r>
      <w:r>
        <w:rPr>
          <w:rFonts w:hint="eastAsia" w:ascii="宋体" w:hAnsi="宋体"/>
          <w:b/>
          <w:bCs/>
          <w:color w:val="000000"/>
          <w:sz w:val="24"/>
          <w:szCs w:val="24"/>
          <w:highlight w:val="none"/>
        </w:rPr>
        <w:t xml:space="preserve">过低</w:t>
      </w:r>
      <w:r>
        <w:rPr>
          <w:rFonts w:hint="eastAsia" w:ascii="宋体" w:hAnsi="宋体"/>
          <w:b/>
          <w:bCs/>
          <w:color w:val="000000"/>
          <w:sz w:val="24"/>
          <w:szCs w:val="24"/>
          <w:highlight w:val="none"/>
          <w:lang w:val="zh-CN"/>
        </w:rPr>
        <w:t xml:space="preserve">，有可能影响</w:t>
      </w:r>
      <w:r>
        <w:rPr>
          <w:rFonts w:hint="eastAsia" w:ascii="宋体" w:hAnsi="宋体"/>
          <w:b/>
          <w:bCs/>
          <w:color w:val="000000"/>
          <w:sz w:val="24"/>
          <w:szCs w:val="24"/>
          <w:highlight w:val="none"/>
        </w:rPr>
        <w:t xml:space="preserve">产品或服务</w:t>
      </w:r>
      <w:r>
        <w:rPr>
          <w:rFonts w:hint="eastAsia" w:ascii="宋体" w:hAnsi="宋体"/>
          <w:b/>
          <w:bCs/>
          <w:color w:val="000000"/>
          <w:sz w:val="24"/>
          <w:szCs w:val="24"/>
          <w:highlight w:val="none"/>
          <w:lang w:val="zh-CN"/>
        </w:rPr>
        <w:t xml:space="preserve">质量或不能诚信履约的，</w:t>
      </w:r>
      <w:r>
        <w:rPr>
          <w:rFonts w:hint="eastAsia" w:ascii="宋体" w:hAnsi="宋体"/>
          <w:b/>
          <w:bCs/>
          <w:color w:val="000000"/>
          <w:sz w:val="24"/>
          <w:szCs w:val="24"/>
          <w:highlight w:val="none"/>
        </w:rPr>
        <w:t xml:space="preserve">评委会将启动异常低价投标审查机制，投标人应</w:t>
      </w:r>
      <w:r>
        <w:rPr>
          <w:rFonts w:hint="eastAsia" w:ascii="宋体" w:hAnsi="宋体"/>
          <w:b/>
          <w:bCs/>
          <w:color w:val="000000"/>
          <w:sz w:val="24"/>
          <w:szCs w:val="24"/>
          <w:highlight w:val="none"/>
          <w:lang w:val="zh-CN"/>
        </w:rPr>
        <w:t xml:space="preserve">在</w:t>
      </w:r>
      <w:r>
        <w:rPr>
          <w:rFonts w:hint="eastAsia" w:ascii="宋体" w:hAnsi="宋体"/>
          <w:b/>
          <w:bCs/>
          <w:color w:val="000000"/>
          <w:sz w:val="24"/>
          <w:szCs w:val="24"/>
          <w:highlight w:val="none"/>
        </w:rPr>
        <w:t xml:space="preserve">评委会规定的合理</w:t>
      </w:r>
      <w:r>
        <w:rPr>
          <w:rFonts w:hint="eastAsia" w:ascii="宋体" w:hAnsi="宋体"/>
          <w:b/>
          <w:bCs/>
          <w:color w:val="000000"/>
          <w:sz w:val="24"/>
          <w:szCs w:val="24"/>
          <w:highlight w:val="none"/>
          <w:lang w:val="zh-CN"/>
        </w:rPr>
        <w:t xml:space="preserve">时间内</w:t>
      </w:r>
      <w:r>
        <w:rPr>
          <w:rFonts w:hint="eastAsia" w:ascii="宋体" w:hAnsi="宋体"/>
          <w:b/>
          <w:bCs/>
          <w:color w:val="000000"/>
          <w:sz w:val="24"/>
          <w:szCs w:val="24"/>
          <w:highlight w:val="none"/>
        </w:rPr>
        <w:t xml:space="preserve">通过苏采云系统</w:t>
      </w:r>
      <w:r>
        <w:rPr>
          <w:rFonts w:hint="eastAsia" w:ascii="宋体" w:hAnsi="宋体"/>
          <w:b/>
          <w:bCs/>
          <w:color w:val="000000"/>
          <w:sz w:val="24"/>
          <w:szCs w:val="24"/>
          <w:highlight w:val="none"/>
          <w:lang w:val="zh-CN"/>
        </w:rPr>
        <w:t xml:space="preserve">提供</w:t>
      </w:r>
      <w:r>
        <w:rPr>
          <w:rFonts w:hint="eastAsia" w:ascii="宋体" w:hAnsi="宋体"/>
          <w:b/>
          <w:bCs/>
          <w:color w:val="000000"/>
          <w:sz w:val="24"/>
          <w:szCs w:val="24"/>
          <w:highlight w:val="none"/>
        </w:rPr>
        <w:t xml:space="preserve">项目具体成本测算等与报价合理性相关的书面</w:t>
      </w:r>
      <w:r>
        <w:rPr>
          <w:rFonts w:hint="eastAsia" w:ascii="宋体" w:hAnsi="宋体"/>
          <w:b/>
          <w:bCs/>
          <w:color w:val="000000"/>
          <w:sz w:val="24"/>
          <w:szCs w:val="24"/>
          <w:highlight w:val="none"/>
          <w:lang w:val="zh-CN"/>
        </w:rPr>
        <w:t xml:space="preserve">说明</w:t>
      </w:r>
      <w:r>
        <w:rPr>
          <w:rFonts w:hint="eastAsia" w:ascii="宋体" w:hAnsi="宋体"/>
          <w:b/>
          <w:bCs/>
          <w:color w:val="000000"/>
          <w:sz w:val="24"/>
          <w:szCs w:val="24"/>
          <w:highlight w:val="none"/>
        </w:rPr>
        <w:t xml:space="preserve">及相关证明材料</w:t>
      </w:r>
      <w:r>
        <w:rPr>
          <w:rFonts w:hint="eastAsia" w:ascii="宋体" w:hAnsi="宋体"/>
          <w:b/>
          <w:bCs/>
          <w:color w:val="000000"/>
          <w:sz w:val="24"/>
          <w:szCs w:val="24"/>
          <w:highlight w:val="none"/>
          <w:lang w:val="zh-CN"/>
        </w:rPr>
        <w:t xml:space="preserve">。投标人</w:t>
      </w:r>
      <w:r>
        <w:rPr>
          <w:rFonts w:hint="eastAsia" w:ascii="宋体" w:hAnsi="宋体"/>
          <w:b/>
          <w:bCs/>
          <w:color w:val="000000"/>
          <w:sz w:val="24"/>
          <w:szCs w:val="24"/>
          <w:highlight w:val="none"/>
        </w:rPr>
        <w:t xml:space="preserve">不提供书面说明及证明材料，或者书面说明、证明材料</w:t>
      </w:r>
      <w:r>
        <w:rPr>
          <w:rFonts w:hint="eastAsia" w:ascii="宋体" w:hAnsi="宋体"/>
          <w:b/>
          <w:bCs/>
          <w:color w:val="000000"/>
          <w:sz w:val="24"/>
          <w:szCs w:val="24"/>
          <w:highlight w:val="none"/>
          <w:lang w:val="zh-CN"/>
        </w:rPr>
        <w:t xml:space="preserve">不能证明其报价合理性的，将作为无效投标处理。</w:t>
      </w:r>
      <w:r>
        <w:rPr>
          <w:rFonts w:hint="eastAsia" w:ascii="宋体" w:hAnsi="宋体"/>
          <w:b/>
          <w:bCs/>
          <w:color w:val="000000"/>
          <w:sz w:val="24"/>
          <w:szCs w:val="24"/>
          <w:highlight w:val="none"/>
        </w:rPr>
      </w:r>
      <w:r/>
    </w:p>
    <w:p>
      <w:pPr>
        <w:pStyle w:val="881"/>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881"/>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六、核心产品品牌一览表</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核心产品品牌一览表</w:t>
      </w:r>
      <w:r>
        <w:rPr>
          <w:rFonts w:hint="eastAsia" w:ascii="方正小标宋简体" w:hAnsi="方正小标宋简体" w:eastAsia="方正小标宋简体" w:cs="方正小标宋简体"/>
          <w:color w:val="000000"/>
          <w:sz w:val="32"/>
          <w:szCs w:val="32"/>
          <w:highlight w:val="none"/>
        </w:rPr>
      </w:r>
      <w:r/>
    </w:p>
    <w:tbl>
      <w:tblPr>
        <w:tblpPr w:horzAnchor="margin" w:tblpXSpec="center" w:vertAnchor="text" w:tblpY="133" w:leftFromText="180" w:topFromText="0" w:rightFromText="180" w:bottomFromText="0"/>
        <w:tblW w:w="97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81"/>
              <w:jc w:val="center"/>
              <w:spacing w:line="0" w:lineRule="atLeast"/>
              <w:widowControl/>
              <w:rPr>
                <w:rFonts w:hint="eastAsia" w:ascii="宋体" w:hAnsi="宋体"/>
                <w:color w:val="000000"/>
                <w:sz w:val="24"/>
                <w:szCs w:val="24"/>
                <w:highlight w:val="none"/>
              </w:rPr>
              <w:framePr w:vAnchor="page" w:hAnchor="page" w:xAlign="center" w:y="133"/>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753" w:type="dxa"/>
            <w:vAlign w:val="center"/>
            <w:textDirection w:val="lrTb"/>
            <w:noWrap w:val="false"/>
          </w:tcPr>
          <w:p>
            <w:pPr>
              <w:pStyle w:val="881"/>
              <w:jc w:val="center"/>
              <w:spacing w:line="0" w:lineRule="atLeast"/>
              <w:widowControl/>
              <w:rPr>
                <w:rFonts w:hint="eastAsia" w:ascii="宋体" w:hAnsi="宋体"/>
                <w:color w:val="000000"/>
                <w:sz w:val="24"/>
                <w:szCs w:val="24"/>
                <w:highlight w:val="none"/>
              </w:rPr>
              <w:framePr w:vAnchor="page" w:hAnchor="page" w:xAlign="center" w:y="133"/>
            </w:pPr>
            <w:r>
              <w:rPr>
                <w:rFonts w:hint="eastAsia" w:ascii="宋体" w:hAnsi="宋体"/>
                <w:color w:val="000000"/>
                <w:sz w:val="24"/>
                <w:szCs w:val="24"/>
                <w:highlight w:val="none"/>
              </w:rPr>
              <w:t xml:space="preserve">产品名称</w:t>
            </w:r>
            <w:r>
              <w:rPr>
                <w:rFonts w:hint="eastAsia" w:ascii="宋体" w:hAnsi="宋体"/>
                <w:color w:val="000000"/>
                <w:sz w:val="24"/>
                <w:szCs w:val="24"/>
                <w:highlight w:val="none"/>
              </w:rPr>
            </w:r>
            <w:r/>
          </w:p>
        </w:tc>
        <w:tc>
          <w:tcPr>
            <w:tcW w:w="2158" w:type="dxa"/>
            <w:vAlign w:val="center"/>
            <w:textDirection w:val="lrTb"/>
            <w:noWrap w:val="false"/>
          </w:tcPr>
          <w:p>
            <w:pPr>
              <w:pStyle w:val="881"/>
              <w:jc w:val="center"/>
              <w:spacing w:line="0" w:lineRule="atLeast"/>
              <w:widowControl/>
              <w:rPr>
                <w:rFonts w:hint="eastAsia" w:ascii="宋体" w:hAnsi="宋体"/>
                <w:color w:val="000000"/>
                <w:sz w:val="24"/>
                <w:szCs w:val="24"/>
                <w:highlight w:val="none"/>
              </w:rPr>
              <w:framePr w:vAnchor="page" w:hAnchor="page" w:xAlign="center" w:y="133"/>
            </w:pPr>
            <w:r>
              <w:rPr>
                <w:rFonts w:hint="eastAsia" w:ascii="宋体" w:hAnsi="宋体"/>
                <w:color w:val="000000"/>
                <w:sz w:val="24"/>
                <w:szCs w:val="24"/>
                <w:highlight w:val="none"/>
              </w:rPr>
              <w:t xml:space="preserve">产品品牌</w:t>
            </w:r>
            <w:r>
              <w:rPr>
                <w:rFonts w:hint="eastAsia" w:ascii="宋体" w:hAnsi="宋体"/>
                <w:color w:val="000000"/>
                <w:sz w:val="24"/>
                <w:szCs w:val="24"/>
                <w:highlight w:val="none"/>
              </w:rPr>
            </w:r>
            <w:r/>
          </w:p>
        </w:tc>
        <w:tc>
          <w:tcPr>
            <w:tcW w:w="2601" w:type="dxa"/>
            <w:vAlign w:val="center"/>
            <w:textDirection w:val="lrTb"/>
            <w:noWrap w:val="false"/>
          </w:tcPr>
          <w:p>
            <w:pPr>
              <w:pStyle w:val="881"/>
              <w:jc w:val="center"/>
              <w:spacing w:line="0" w:lineRule="atLeast"/>
              <w:widowControl/>
              <w:rPr>
                <w:rFonts w:hint="eastAsia" w:ascii="宋体" w:hAnsi="宋体"/>
                <w:color w:val="000000"/>
                <w:sz w:val="24"/>
                <w:szCs w:val="24"/>
                <w:highlight w:val="none"/>
              </w:rPr>
              <w:framePr w:vAnchor="page" w:hAnchor="page" w:xAlign="center" w:y="133"/>
            </w:pPr>
            <w:r>
              <w:rPr>
                <w:rFonts w:hint="eastAsia" w:ascii="宋体" w:hAnsi="宋体"/>
                <w:color w:val="000000"/>
                <w:sz w:val="24"/>
                <w:szCs w:val="24"/>
                <w:highlight w:val="none"/>
              </w:rPr>
              <w:t xml:space="preserve">规格或型号</w:t>
            </w:r>
            <w:r>
              <w:rPr>
                <w:rFonts w:hint="eastAsia" w:ascii="宋体" w:hAnsi="宋体"/>
                <w:color w:val="000000"/>
                <w:sz w:val="24"/>
                <w:szCs w:val="24"/>
                <w:highlight w:val="none"/>
              </w:rPr>
            </w:r>
            <w:r/>
          </w:p>
        </w:tc>
      </w:tr>
      <w:tr>
        <w:trPr>
          <w:trHeight w:val="963"/>
        </w:trPr>
        <w:tc>
          <w:tcPr>
            <w:tcW w:w="1251" w:type="dxa"/>
            <w:vAlign w:val="center"/>
            <w:textDirection w:val="lrTb"/>
            <w:noWrap w:val="false"/>
          </w:tcPr>
          <w:p>
            <w:pPr>
              <w:pStyle w:val="881"/>
              <w:jc w:val="center"/>
              <w:spacing w:line="0" w:lineRule="atLeast"/>
              <w:rPr>
                <w:rFonts w:hint="eastAsia" w:ascii="宋体" w:hAnsi="宋体"/>
                <w:color w:val="000000"/>
                <w:sz w:val="24"/>
                <w:szCs w:val="24"/>
                <w:highlight w:val="none"/>
                <w:lang w:val="zh-CN"/>
              </w:rPr>
              <w:framePr w:vAnchor="page" w:hAnchor="page" w:xAlign="center" w:y="133"/>
            </w:pPr>
            <w:r>
              <w:rPr>
                <w:rFonts w:ascii="宋体" w:hAnsi="宋体" w:cs="宋体"/>
                <w:color w:val="000000"/>
                <w:szCs w:val="21"/>
                <w:highlight w:val="none"/>
                <w:lang w:val="zh-CN"/>
              </w:rPr>
              <w:t xml:space="preserve">1</w:t>
            </w:r>
            <w:r>
              <w:rPr>
                <w:rFonts w:hint="eastAsia" w:ascii="宋体" w:hAnsi="宋体"/>
                <w:color w:val="000000"/>
                <w:sz w:val="24"/>
                <w:szCs w:val="24"/>
                <w:highlight w:val="none"/>
                <w:lang w:val="zh-CN"/>
              </w:rPr>
            </w:r>
            <w:r/>
          </w:p>
        </w:tc>
        <w:tc>
          <w:tcPr>
            <w:tcW w:w="3753" w:type="dxa"/>
            <w:vAlign w:val="center"/>
            <w:textDirection w:val="lrTb"/>
            <w:noWrap w:val="false"/>
          </w:tcPr>
          <w:p>
            <w:pPr>
              <w:pStyle w:val="881"/>
              <w:jc w:val="center"/>
              <w:spacing w:line="0" w:lineRule="atLeast"/>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lang w:val="zh-CN"/>
              </w:rPr>
            </w:r>
            <w:r/>
          </w:p>
        </w:tc>
        <w:tc>
          <w:tcPr>
            <w:tcW w:w="2158" w:type="dxa"/>
            <w:vAlign w:val="top"/>
            <w:textDirection w:val="lrTb"/>
            <w:noWrap w:val="false"/>
          </w:tcPr>
          <w:p>
            <w:pPr>
              <w:pStyle w:val="881"/>
              <w:jc w:val="center"/>
              <w:spacing w:line="0" w:lineRule="atLeast"/>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lang w:val="zh-CN"/>
              </w:rPr>
            </w:r>
            <w:r/>
          </w:p>
        </w:tc>
        <w:tc>
          <w:tcPr>
            <w:tcW w:w="2601" w:type="dxa"/>
            <w:vAlign w:val="top"/>
            <w:textDirection w:val="lrTb"/>
            <w:noWrap w:val="false"/>
          </w:tcPr>
          <w:p>
            <w:pPr>
              <w:pStyle w:val="881"/>
              <w:jc w:val="center"/>
              <w:spacing w:line="0" w:lineRule="atLeast"/>
              <w:rPr>
                <w:rFonts w:hint="eastAsia" w:ascii="宋体" w:hAnsi="宋体"/>
                <w:color w:val="000000"/>
                <w:sz w:val="24"/>
                <w:szCs w:val="24"/>
                <w:highlight w:val="none"/>
                <w:lang w:val="zh-CN"/>
              </w:rPr>
              <w:framePr w:vAnchor="page" w:hAnchor="page" w:xAlign="center" w:y="133"/>
            </w:pPr>
            <w:r>
              <w:rPr>
                <w:rFonts w:hint="eastAsia" w:ascii="宋体" w:hAnsi="宋体"/>
                <w:color w:val="000000"/>
                <w:sz w:val="24"/>
                <w:szCs w:val="24"/>
                <w:highlight w:val="none"/>
                <w:lang w:val="zh-CN"/>
              </w:rPr>
            </w:r>
            <w:r/>
          </w:p>
        </w:tc>
      </w:tr>
    </w:tbl>
    <w:p>
      <w:pPr>
        <w:pStyle w:val="881"/>
        <w:ind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val="zh-CN"/>
        </w:rPr>
        <w:t xml:space="preserve">名称：（</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lang w:val="zh-CN"/>
        </w:rPr>
      </w:r>
      <w:r/>
    </w:p>
    <w:p>
      <w:pPr>
        <w:pStyle w:val="881"/>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81"/>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备注：供应商须按照表格要求明确填写所投“核心产品”的品牌，不得填报“/”“无”等内容，否则视为无效投标。</w:t>
      </w:r>
      <w:r>
        <w:rPr>
          <w:rFonts w:hint="eastAsia" w:ascii="宋体" w:hAnsi="宋体"/>
          <w:b/>
          <w:bCs/>
          <w:color w:val="000000"/>
          <w:sz w:val="24"/>
          <w:szCs w:val="24"/>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七、投标分项报价表</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rPr>
          <w:rFonts w:hint="eastAsia" w:ascii="方正小标宋简体" w:hAnsi="方正小标宋简体" w:eastAsia="方正小标宋简体" w:cs="方正小标宋简体"/>
          <w:color w:val="000000"/>
          <w:sz w:val="32"/>
          <w:szCs w:val="32"/>
          <w:highlight w:val="none"/>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24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79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4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83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82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96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1210" w:type="dxa"/>
            <w:vAlign w:val="center"/>
            <w:textDirection w:val="lrTb"/>
            <w:noWrap w:val="false"/>
          </w:tcPr>
          <w:p>
            <w:pPr>
              <w:pStyle w:val="88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r>
      <w:tr>
        <w:trPr>
          <w:cantSplit/>
          <w:trHeight w:val="603"/>
        </w:trPr>
        <w:tc>
          <w:tcPr>
            <w:tcW w:w="581" w:type="dxa"/>
            <w:vAlign w:val="center"/>
            <w:vMerge w:val="continue"/>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产品名称</w:t>
            </w:r>
            <w:r>
              <w:rPr>
                <w:rFonts w:hint="eastAsia" w:ascii="宋体" w:hAnsi="宋体"/>
                <w:color w:val="000000"/>
                <w:sz w:val="24"/>
                <w:szCs w:val="24"/>
                <w:highlight w:val="none"/>
              </w:rPr>
            </w:r>
            <w:r/>
          </w:p>
        </w:tc>
        <w:tc>
          <w:tcPr>
            <w:tcW w:w="9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79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规格或型号</w:t>
            </w:r>
            <w:r>
              <w:rPr>
                <w:rFonts w:hint="eastAsia" w:ascii="宋体" w:hAnsi="宋体"/>
                <w:color w:val="000000"/>
                <w:sz w:val="24"/>
                <w:szCs w:val="24"/>
                <w:highlight w:val="none"/>
              </w:rPr>
            </w:r>
            <w:r/>
          </w:p>
        </w:tc>
        <w:tc>
          <w:tcPr>
            <w:tcW w:w="14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交付期（天）</w:t>
            </w:r>
            <w:r>
              <w:rPr>
                <w:rFonts w:hint="eastAsia" w:ascii="宋体" w:hAnsi="宋体"/>
                <w:color w:val="000000"/>
                <w:sz w:val="24"/>
                <w:szCs w:val="24"/>
                <w:highlight w:val="none"/>
              </w:rPr>
            </w:r>
            <w:r/>
          </w:p>
        </w:tc>
        <w:tc>
          <w:tcPr>
            <w:tcW w:w="83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960" w:type="dxa"/>
            <w:vAlign w:val="center"/>
            <w:textDirection w:val="lrTb"/>
            <w:noWrap w:val="false"/>
          </w:tcPr>
          <w:p>
            <w:pPr>
              <w:pStyle w:val="881"/>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单价（元）</w:t>
            </w:r>
            <w:r>
              <w:rPr>
                <w:rFonts w:ascii="宋体" w:hAnsi="宋体"/>
                <w:color w:val="000000"/>
                <w:sz w:val="24"/>
                <w:szCs w:val="24"/>
                <w:highlight w:val="none"/>
              </w:rPr>
            </w:r>
            <w:r/>
          </w:p>
        </w:tc>
        <w:tc>
          <w:tcPr>
            <w:tcW w:w="121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总价（元）</w:t>
            </w: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81"/>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290" w:type="dxa"/>
            <w:vAlign w:val="center"/>
            <w:textDirection w:val="lrTb"/>
            <w:noWrap w:val="false"/>
          </w:tcPr>
          <w:p>
            <w:pPr>
              <w:pStyle w:val="88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rPr>
            </w:r>
            <w:r/>
          </w:p>
        </w:tc>
      </w:tr>
    </w:tbl>
    <w:p>
      <w:pPr>
        <w:pStyle w:val="88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8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6"/>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1.“投标总报价”应包括为完成整个项目所产生的所有费用，招标文件另有规定的除外。</w:t>
      </w:r>
      <w:r>
        <w:rPr>
          <w:rFonts w:hint="eastAsia"/>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2.《投标分项报价表》中“投标总价”应当与《开标一览表》中“投标总报价”一致。</w:t>
      </w:r>
      <w:r>
        <w:rPr>
          <w:rFonts w:hint="eastAsia"/>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3.供应商所投产品须与“第四章-项目清单”中的产品一一对应，如有缺项、漏项或者超出单价上限，视为无效投标。“项目清单”中分项仅为一项的，此表无需提供。</w:t>
      </w:r>
      <w:r>
        <w:rPr>
          <w:rFonts w:hint="eastAsia"/>
          <w:color w:val="000000"/>
          <w:highlight w:val="none"/>
        </w:rPr>
      </w:r>
      <w:r/>
    </w:p>
    <w:p>
      <w:pPr>
        <w:pStyle w:val="946"/>
        <w:ind w:firstLine="480"/>
        <w:jc w:val="both"/>
        <w:spacing w:before="0" w:beforeAutospacing="0" w:after="0" w:afterAutospacing="0" w:line="360" w:lineRule="auto"/>
        <w:rPr>
          <w:color w:val="000000"/>
          <w:highlight w:val="none"/>
        </w:rPr>
      </w:pPr>
      <w:r>
        <w:rPr>
          <w:rFonts w:hint="eastAsia"/>
          <w:color w:val="000000"/>
          <w:highlight w:val="none"/>
        </w:rPr>
        <w:t xml:space="preserve">4.行数不够，可自行添加。</w:t>
      </w:r>
      <w:r>
        <w:rPr>
          <w:color w:val="000000"/>
          <w:highlight w:val="none"/>
        </w:rPr>
      </w:r>
      <w:r/>
    </w:p>
    <w:p>
      <w:pPr>
        <w:pStyle w:val="881"/>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881"/>
        <w:rPr>
          <w:rFonts w:ascii="宋体" w:hAnsi="宋体"/>
          <w:color w:val="000000"/>
          <w:sz w:val="24"/>
          <w:szCs w:val="24"/>
          <w:highlight w:val="none"/>
        </w:rPr>
      </w:pPr>
      <w:r>
        <w:rPr>
          <w:rFonts w:ascii="宋体" w:hAnsi="宋体"/>
          <w:color w:val="000000"/>
          <w:sz w:val="24"/>
          <w:szCs w:val="24"/>
          <w:highlight w:val="none"/>
        </w:rPr>
      </w:r>
      <w:r/>
    </w:p>
    <w:p>
      <w:pPr>
        <w:pStyle w:val="881"/>
        <w:rPr>
          <w:rFonts w:ascii="宋体" w:hAnsi="宋体"/>
          <w:color w:val="000000"/>
          <w:sz w:val="24"/>
          <w:szCs w:val="24"/>
          <w:highlight w:val="none"/>
        </w:rPr>
      </w:pPr>
      <w:r>
        <w:rPr>
          <w:rFonts w:ascii="宋体" w:hAnsi="宋体"/>
          <w:color w:val="000000"/>
          <w:sz w:val="24"/>
          <w:szCs w:val="24"/>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八、技术要求响应及偏离表</w:t>
      </w:r>
      <w:r>
        <w:rPr>
          <w:rFonts w:hint="eastAsia" w:ascii="黑体" w:hAnsi="黑体" w:eastAsia="黑体"/>
          <w:color w:val="000000"/>
          <w:sz w:val="32"/>
          <w:szCs w:val="32"/>
          <w:highlight w:val="none"/>
        </w:rPr>
      </w:r>
      <w:r/>
    </w:p>
    <w:p>
      <w:pPr>
        <w:pStyle w:val="881"/>
        <w:jc w:val="center"/>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技术要求响应及偏离表</w:t>
      </w:r>
      <w:r>
        <w:rPr>
          <w:rFonts w:hint="eastAsia" w:ascii="方正小标宋简体" w:hAnsi="方正小标宋简体" w:eastAsia="方正小标宋简体" w:cs="方正小标宋简体"/>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881"/>
              <w:jc w:val="center"/>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81"/>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946"/>
        <w:ind w:firstLine="480"/>
        <w:jc w:val="both"/>
        <w:spacing w:before="0" w:beforeAutospacing="0" w:after="0" w:afterAutospacing="0"/>
        <w:rPr>
          <w:color w:val="000000"/>
          <w:highlight w:val="none"/>
        </w:rPr>
      </w:pPr>
      <w:r>
        <w:rPr>
          <w:color w:val="000000"/>
          <w:highlight w:val="none"/>
        </w:rPr>
      </w:r>
      <w:r/>
    </w:p>
    <w:p>
      <w:pPr>
        <w:pStyle w:val="946"/>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1.供应商须对招标文件技术要求中的实质性要求（斜体下划线内容或打“★”内容）及其他要求做出明确响应，否则视为无效投标。</w:t>
      </w:r>
      <w:r>
        <w:rPr>
          <w:rFonts w:hint="eastAsia"/>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rPr>
          <w:rFonts w:hint="eastAsia"/>
          <w:color w:val="000000"/>
          <w:highlight w:val="none"/>
        </w:rPr>
      </w:pPr>
      <w:r>
        <w:rPr>
          <w:rFonts w:hint="eastAsia"/>
          <w:color w:val="000000"/>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九、商务要求响应及偏离表</w:t>
      </w:r>
      <w:r>
        <w:rPr>
          <w:rFonts w:hint="eastAsia" w:ascii="黑体" w:hAnsi="黑体" w:eastAsia="黑体"/>
          <w:color w:val="000000"/>
          <w:sz w:val="32"/>
          <w:szCs w:val="32"/>
          <w:highlight w:val="none"/>
        </w:rPr>
      </w:r>
      <w:r/>
    </w:p>
    <w:p>
      <w:pPr>
        <w:pStyle w:val="881"/>
        <w:jc w:val="center"/>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商务要求响应及偏离表</w:t>
      </w:r>
      <w:r>
        <w:rPr>
          <w:rFonts w:hint="eastAsia" w:ascii="方正小标宋简体" w:hAnsi="方正小标宋简体" w:eastAsia="方正小标宋简体" w:cs="方正小标宋简体"/>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881"/>
              <w:jc w:val="center"/>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81"/>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rPr>
          <w:rFonts w:hint="eastAsia" w:ascii="宋体" w:hAnsi="宋体"/>
          <w:color w:val="000000"/>
          <w:sz w:val="24"/>
          <w:szCs w:val="24"/>
          <w:highlight w:val="none"/>
        </w:rPr>
      </w:r>
      <w:r/>
    </w:p>
    <w:p>
      <w:pPr>
        <w:pStyle w:val="881"/>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备注： </w:t>
      </w:r>
      <w:r>
        <w:rPr>
          <w:rFonts w:hint="eastAsia"/>
          <w:color w:val="000000"/>
          <w:highlight w:val="none"/>
        </w:rPr>
      </w:r>
      <w:r/>
    </w:p>
    <w:p>
      <w:pPr>
        <w:pStyle w:val="946"/>
        <w:ind w:firstLine="480"/>
        <w:jc w:val="both"/>
        <w:spacing w:before="0" w:beforeAutospacing="0" w:after="0" w:afterAutospacing="0" w:line="360" w:lineRule="auto"/>
        <w:rPr>
          <w:color w:val="000000"/>
          <w:highlight w:val="none"/>
        </w:rPr>
      </w:pPr>
      <w:r>
        <w:rPr>
          <w:rFonts w:hint="eastAsia"/>
          <w:color w:val="000000"/>
          <w:highlight w:val="none"/>
        </w:rPr>
        <w:t xml:space="preserve">1.供应商须对招标文件商务要求中的实质性要求（斜体下划线内容或打“★”内容）做出明确响应，否则视为无效投标。</w:t>
      </w:r>
      <w:r>
        <w:rPr>
          <w:color w:val="000000"/>
          <w:highlight w:val="none"/>
        </w:rPr>
      </w:r>
      <w:r/>
    </w:p>
    <w:p>
      <w:pPr>
        <w:pStyle w:val="94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rPr>
          <w:rFonts w:hint="eastAsia"/>
          <w:color w:val="000000"/>
          <w:highlight w:val="none"/>
        </w:rPr>
      </w:r>
      <w:r/>
    </w:p>
    <w:p>
      <w:pPr>
        <w:pStyle w:val="881"/>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81"/>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59"/>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pStyle w:val="881"/>
        <w:rPr>
          <w:rFonts w:hint="eastAsia"/>
          <w:color w:val="000000"/>
          <w:highlight w:val="none"/>
        </w:rPr>
      </w:pPr>
      <w:r>
        <w:rPr>
          <w:rFonts w:hint="eastAsia"/>
          <w:color w:val="000000"/>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十、中小企业声明函</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中小企业声明函（货物）</w:t>
      </w:r>
      <w:r>
        <w:rPr>
          <w:rFonts w:hint="eastAsia" w:ascii="方正小标宋简体" w:hAnsi="方正小标宋简体" w:eastAsia="方正小标宋简体" w:cs="方正小标宋简体"/>
          <w:color w:val="000000"/>
          <w:sz w:val="32"/>
          <w:szCs w:val="32"/>
          <w:highlight w:val="none"/>
        </w:rPr>
      </w:r>
      <w:r/>
    </w:p>
    <w:p>
      <w:pPr>
        <w:pStyle w:val="881"/>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300号)的规定，相关企业（含联合体中的小微企业、签订分包意向协议的小微企业）的具体情况如下：</w:t>
      </w:r>
      <w:r>
        <w:rPr>
          <w:rFonts w:hint="eastAsia" w:ascii="宋体" w:hAnsi="宋体"/>
          <w:color w:val="000000"/>
          <w:sz w:val="24"/>
          <w:szCs w:val="24"/>
          <w:highlight w:val="none"/>
        </w:rPr>
      </w:r>
      <w:r/>
    </w:p>
    <w:p>
      <w:pPr>
        <w:pStyle w:val="881"/>
        <w:ind w:firstLine="360"/>
        <w:spacing w:line="336"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行业（招标文件中明确的所属行业）；制造商为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u w:val="single"/>
        </w:rPr>
      </w:r>
      <w:r/>
    </w:p>
    <w:p>
      <w:pPr>
        <w:pStyle w:val="881"/>
        <w:ind w:firstLine="360"/>
        <w:spacing w:line="336"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行业（招标文件中明确的所属行业）；制造商为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rPr>
          <w:rFonts w:hint="eastAsia" w:ascii="宋体" w:hAnsi="宋体"/>
          <w:i/>
          <w:color w:val="000000"/>
          <w:sz w:val="24"/>
          <w:szCs w:val="24"/>
          <w:highlight w:val="none"/>
        </w:rPr>
      </w:r>
      <w:r/>
    </w:p>
    <w:p>
      <w:pPr>
        <w:pStyle w:val="881"/>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1"/>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81"/>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959"/>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spacing w:line="336" w:lineRule="auto"/>
        <w:rPr>
          <w:rFonts w:hint="eastAsia"/>
          <w:color w:val="000000"/>
          <w:highlight w:val="none"/>
        </w:rPr>
      </w:pPr>
      <w:r>
        <w:rPr>
          <w:rFonts w:hint="eastAsia"/>
          <w:color w:val="000000"/>
          <w:highlight w:val="none"/>
        </w:rPr>
      </w:r>
      <w:r/>
    </w:p>
    <w:p>
      <w:pPr>
        <w:pStyle w:val="881"/>
        <w:ind w:right="180" w:firstLine="360"/>
        <w:jc w:val="center"/>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881"/>
        <w:ind w:firstLine="6000"/>
        <w:spacing w:line="336"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81"/>
        <w:ind w:firstLine="48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ind w:firstLine="48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b/>
          <w:bCs/>
          <w:color w:val="000000"/>
          <w:sz w:val="24"/>
          <w:szCs w:val="24"/>
          <w:highlight w:val="none"/>
        </w:rPr>
        <w:t xml:space="preserve">（货物由中小企业制造，即货物由中小企业生产且使用该中小企业商号或者注册商标）</w:t>
      </w:r>
      <w:r>
        <w:rPr>
          <w:rFonts w:hint="eastAsia" w:ascii="宋体" w:hAnsi="宋体"/>
          <w:color w:val="000000"/>
          <w:sz w:val="24"/>
          <w:szCs w:val="24"/>
          <w:highlight w:val="none"/>
        </w:rPr>
        <w:t xml:space="preserve">，不对其中涉及的服务的承接商、工程的承建商作出要求。</w:t>
      </w:r>
      <w:r>
        <w:rPr>
          <w:rFonts w:hint="eastAsia" w:ascii="宋体" w:hAnsi="宋体"/>
          <w:color w:val="000000"/>
          <w:sz w:val="24"/>
          <w:szCs w:val="24"/>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十一、残疾人福利性单位声明函</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rPr>
          <w:rFonts w:hint="eastAsia" w:ascii="方正小标宋简体" w:hAnsi="方正小标宋简体" w:eastAsia="方正小标宋简体" w:cs="方正小标宋简体"/>
          <w:color w:val="000000"/>
          <w:sz w:val="32"/>
          <w:szCs w:val="32"/>
          <w:highlight w:val="none"/>
        </w:rPr>
      </w:r>
      <w:r/>
    </w:p>
    <w:p>
      <w:pPr>
        <w:pStyle w:val="881"/>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88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hint="eastAsia" w:ascii="宋体" w:hAnsi="宋体"/>
          <w:color w:val="000000"/>
          <w:sz w:val="24"/>
          <w:highlight w:val="none"/>
        </w:rPr>
      </w:r>
      <w:r/>
    </w:p>
    <w:p>
      <w:pPr>
        <w:pStyle w:val="95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rPr>
          <w:rFonts w:hint="eastAsia"/>
          <w:color w:val="000000"/>
          <w:highlight w:val="none"/>
        </w:rPr>
      </w:pPr>
      <w:r>
        <w:rPr>
          <w:rFonts w:hint="eastAsia"/>
          <w:color w:val="000000"/>
          <w:highlight w:val="none"/>
        </w:rPr>
      </w:r>
      <w:r/>
    </w:p>
    <w:p>
      <w:pPr>
        <w:pStyle w:val="881"/>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rPr>
          <w:rFonts w:hint="eastAsia" w:ascii="宋体" w:hAnsi="宋体"/>
          <w:color w:val="000000"/>
          <w:sz w:val="24"/>
          <w:szCs w:val="24"/>
          <w:highlight w:val="none"/>
        </w:rPr>
      </w:r>
      <w:r/>
    </w:p>
    <w:p>
      <w:pPr>
        <w:pStyle w:val="881"/>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81"/>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88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8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1.投标人如不提供此声明函，价格将不作相应扣除。</w:t>
      </w:r>
      <w:r>
        <w:rPr>
          <w:rFonts w:hint="eastAsia" w:ascii="宋体" w:hAnsi="宋体"/>
          <w:color w:val="000000"/>
          <w:sz w:val="24"/>
          <w:highlight w:val="none"/>
        </w:rPr>
      </w:r>
      <w:r/>
    </w:p>
    <w:p>
      <w:pPr>
        <w:pStyle w:val="88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2.中标人为残疾人福利性单位的，此声明函将随中标结果同时公告，接受社会监督。</w:t>
      </w:r>
      <w:r>
        <w:rPr>
          <w:rFonts w:ascii="宋体" w:hAnsi="宋体"/>
          <w:color w:val="000000"/>
          <w:sz w:val="24"/>
          <w:highlight w:val="none"/>
        </w:rPr>
      </w:r>
      <w:r/>
    </w:p>
    <w:p>
      <w:pPr>
        <w:pStyle w:val="881"/>
        <w:ind w:firstLine="624"/>
        <w:spacing w:line="48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997"/>
        <w:rPr>
          <w:color w:val="000000"/>
          <w:highlight w:val="none"/>
        </w:rPr>
      </w:pPr>
      <w:r>
        <w:rPr>
          <w:color w:val="000000"/>
          <w:highlight w:val="none"/>
        </w:rPr>
      </w:r>
      <w:r/>
    </w:p>
    <w:p>
      <w:pPr>
        <w:pStyle w:val="881"/>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81"/>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十二、联合体协议</w:t>
      </w:r>
      <w:r>
        <w:rPr>
          <w:rFonts w:hint="eastAsia" w:ascii="黑体" w:hAnsi="黑体" w:eastAsia="黑体"/>
          <w:color w:val="000000"/>
          <w:sz w:val="32"/>
          <w:szCs w:val="32"/>
          <w:highlight w:val="none"/>
        </w:rPr>
      </w:r>
      <w:r/>
    </w:p>
    <w:p>
      <w:pPr>
        <w:pStyle w:val="88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联合体协议</w:t>
      </w:r>
      <w:r>
        <w:rPr>
          <w:rFonts w:hint="eastAsia" w:ascii="方正小标宋简体" w:hAnsi="方正小标宋简体" w:eastAsia="方正小标宋简体" w:cs="方正小标宋简体"/>
          <w:color w:val="000000"/>
          <w:sz w:val="32"/>
          <w:szCs w:val="32"/>
          <w:highlight w:val="none"/>
        </w:rPr>
      </w:r>
      <w:r/>
    </w:p>
    <w:p>
      <w:pPr>
        <w:pStyle w:val="881"/>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881"/>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（供应商名称）为牵头单位。</w:t>
      </w:r>
      <w:r>
        <w:rPr>
          <w:rFonts w:ascii="宋体" w:hAnsi="宋体"/>
          <w:color w:val="000000"/>
          <w:sz w:val="24"/>
          <w:highlight w:val="none"/>
        </w:rPr>
      </w:r>
      <w:r/>
    </w:p>
    <w:p>
      <w:pPr>
        <w:pStyle w:val="881"/>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（工作内容）部分工作，并承担相应的责任；……。（注：需明确联合体中各供应商所承担的工作和相应的责任）。</w:t>
      </w:r>
      <w:r>
        <w:rPr>
          <w:rFonts w:ascii="宋体" w:hAnsi="宋体"/>
          <w:color w:val="000000"/>
          <w:sz w:val="24"/>
          <w:highlight w:val="none"/>
        </w:rPr>
      </w:r>
      <w:r/>
    </w:p>
    <w:p>
      <w:pPr>
        <w:pStyle w:val="881"/>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81"/>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81"/>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81"/>
        <w:ind w:firstLine="645"/>
        <w:jc w:val="right"/>
        <w:spacing w:line="560" w:lineRule="exact"/>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81"/>
        <w:ind w:firstLine="528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81"/>
        <w:ind w:firstLine="480"/>
        <w:spacing w:line="480" w:lineRule="exact"/>
        <w:rPr>
          <w:rFonts w:hint="eastAsia" w:ascii="宋体" w:hAnsi="宋体"/>
          <w:color w:val="000000"/>
          <w:sz w:val="24"/>
          <w:highlight w:val="none"/>
        </w:rPr>
      </w:pPr>
      <w:r>
        <w:rPr>
          <w:rFonts w:hint="eastAsia" w:ascii="宋体" w:hAnsi="宋体"/>
          <w:color w:val="000000"/>
          <w:sz w:val="24"/>
          <w:highlight w:val="none"/>
        </w:rPr>
      </w:r>
      <w:r/>
    </w:p>
    <w:p>
      <w:pPr>
        <w:pStyle w:val="88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8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1.牵头单位必须为联合体成员。</w:t>
      </w:r>
      <w:r>
        <w:rPr>
          <w:rFonts w:hint="eastAsia" w:ascii="宋体" w:hAnsi="宋体"/>
          <w:color w:val="000000"/>
          <w:sz w:val="24"/>
          <w:highlight w:val="none"/>
        </w:rPr>
      </w:r>
      <w:r/>
    </w:p>
    <w:p>
      <w:pPr>
        <w:pStyle w:val="881"/>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8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3.除另有说明外，本招标文件要求加盖电子公章之处，加盖牵头单位的电子公章即可。</w:t>
      </w:r>
      <w:r>
        <w:rPr>
          <w:rFonts w:hint="eastAsia" w:ascii="宋体" w:hAnsi="宋体"/>
          <w:color w:val="000000"/>
          <w:sz w:val="24"/>
          <w:highlight w:val="none"/>
        </w:rPr>
      </w:r>
      <w:r/>
    </w:p>
    <w:p>
      <w:pPr>
        <w:pStyle w:val="893"/>
        <w:ind w:firstLine="480"/>
        <w:rPr>
          <w:rFonts w:hint="eastAsia"/>
          <w:color w:val="000000"/>
          <w:sz w:val="24"/>
          <w:highlight w:val="none"/>
        </w:rPr>
      </w:pPr>
      <w:r>
        <w:rPr>
          <w:rFonts w:hint="eastAsia"/>
          <w:color w:val="000000"/>
          <w:sz w:val="24"/>
          <w:highlight w:val="none"/>
        </w:rPr>
      </w:r>
      <w:r/>
    </w:p>
    <w:p>
      <w:pPr>
        <w:pStyle w:val="881"/>
        <w:rPr>
          <w:rFonts w:hint="eastAsia"/>
          <w:color w:val="000000"/>
          <w:highlight w:val="none"/>
        </w:rPr>
      </w:pPr>
      <w:r>
        <w:rPr>
          <w:rFonts w:hint="eastAsia"/>
          <w:color w:val="000000"/>
          <w:highlight w:val="none"/>
        </w:rPr>
      </w:r>
      <w:r/>
    </w:p>
    <w:p>
      <w:pPr>
        <w:pStyle w:val="881"/>
        <w:ind w:firstLine="645"/>
        <w:spacing w:line="560" w:lineRule="exact"/>
        <w:rPr>
          <w:rFonts w:ascii="宋体" w:hAnsi="宋体"/>
          <w:color w:val="000000"/>
          <w:sz w:val="24"/>
          <w:highlight w:val="none"/>
        </w:rPr>
      </w:pPr>
      <w:r>
        <w:rPr>
          <w:rFonts w:ascii="宋体" w:hAnsi="宋体"/>
          <w:color w:val="000000"/>
          <w:sz w:val="24"/>
          <w:highlight w:val="none"/>
        </w:rPr>
      </w:r>
      <w:r/>
    </w:p>
    <w:p>
      <w:pPr>
        <w:pStyle w:val="881"/>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81"/>
        <w:jc w:val="center"/>
        <w:rPr>
          <w:rFonts w:hint="eastAsia" w:ascii="方正小标宋简体" w:hAnsi="方正小标宋简体" w:eastAsia="方正小标宋简体" w:cs="方正小标宋简体"/>
          <w:color w:val="000000"/>
          <w:sz w:val="32"/>
          <w:szCs w:val="32"/>
          <w:highlight w:val="none"/>
        </w:rPr>
      </w:pPr>
      <w:r/>
      <w:bookmarkEnd w:id="202"/>
      <w:r>
        <w:rPr>
          <w:rFonts w:hint="eastAsia" w:ascii="方正小标宋简体" w:hAnsi="方正小标宋简体" w:eastAsia="方正小标宋简体" w:cs="方正小标宋简体"/>
          <w:color w:val="000000"/>
          <w:sz w:val="32"/>
          <w:szCs w:val="32"/>
          <w:highlight w:val="none"/>
        </w:rPr>
        <w:t xml:space="preserve">质疑函范本</w:t>
      </w:r>
      <w:r>
        <w:rPr>
          <w:rFonts w:hint="eastAsia" w:ascii="方正小标宋简体" w:hAnsi="方正小标宋简体" w:eastAsia="方正小标宋简体" w:cs="方正小标宋简体"/>
          <w:color w:val="000000"/>
          <w:sz w:val="32"/>
          <w:szCs w:val="32"/>
          <w:highlight w:val="none"/>
        </w:rPr>
      </w:r>
      <w:r/>
    </w:p>
    <w:p>
      <w:pPr>
        <w:pStyle w:val="88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采购包号：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81"/>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81"/>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81"/>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1"/>
        <w:rPr>
          <w:rFonts w:ascii="宋体" w:hAnsi="宋体"/>
          <w:color w:val="000000"/>
          <w:sz w:val="24"/>
          <w:szCs w:val="24"/>
          <w:highlight w:val="none"/>
        </w:rPr>
      </w:pPr>
      <w:r>
        <w:rPr>
          <w:rFonts w:hint="eastAsia" w:ascii="宋体" w:hAnsi="宋体"/>
          <w:color w:val="000000"/>
          <w:sz w:val="24"/>
          <w:szCs w:val="24"/>
          <w:highlight w:val="none"/>
        </w:rPr>
        <w:t xml:space="preserve">签  字(签章)：                                 公  章：                      </w:t>
      </w:r>
      <w:r>
        <w:rPr>
          <w:rFonts w:ascii="宋体" w:hAnsi="宋体"/>
          <w:color w:val="000000"/>
          <w:sz w:val="24"/>
          <w:szCs w:val="24"/>
          <w:highlight w:val="none"/>
        </w:rPr>
      </w:r>
      <w:r/>
    </w:p>
    <w:p>
      <w:pPr>
        <w:pStyle w:val="881"/>
        <w:rPr>
          <w:rFonts w:ascii="宋体" w:hAnsi="宋体"/>
          <w:color w:val="000000"/>
          <w:sz w:val="24"/>
          <w:szCs w:val="24"/>
          <w:highlight w:val="none"/>
        </w:rPr>
      </w:pPr>
      <w:r>
        <w:rPr>
          <w:rFonts w:hint="eastAsia" w:ascii="宋体" w:hAnsi="宋体"/>
          <w:color w:val="000000"/>
          <w:sz w:val="24"/>
          <w:szCs w:val="24"/>
          <w:highlight w:val="none"/>
        </w:rPr>
        <w:t xml:space="preserve">日  期：    </w:t>
      </w:r>
      <w:r>
        <w:rPr>
          <w:rFonts w:ascii="宋体" w:hAnsi="宋体"/>
          <w:color w:val="000000"/>
          <w:sz w:val="24"/>
          <w:szCs w:val="24"/>
          <w:highlight w:val="none"/>
        </w:rPr>
      </w:r>
      <w:r/>
    </w:p>
    <w:p>
      <w:pPr>
        <w:pStyle w:val="881"/>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81"/>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81"/>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rPr>
          <w:rFonts w:ascii="宋体" w:hAnsi="宋体"/>
          <w:bCs/>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rPr>
          <w:rFonts w:hint="eastAsia" w:ascii="宋体" w:hAnsi="宋体" w:cs="仿宋"/>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2.由授权代表负责质疑事宜的，《质疑函》附件中应提交由质疑供应商法定代表人签署的《授权委托书》。</w:t>
      </w:r>
      <w:r>
        <w:rPr>
          <w:rFonts w:hint="eastAsia" w:ascii="宋体" w:hAnsi="宋体" w:cs="仿宋"/>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3.质疑供应商针对项目的某一采购包进行质疑的，《质疑函》中应明确采购包号。</w:t>
      </w:r>
      <w:r>
        <w:rPr>
          <w:rFonts w:hint="eastAsia" w:ascii="宋体" w:hAnsi="宋体" w:cs="仿宋"/>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rPr>
          <w:rFonts w:hint="eastAsia" w:ascii="宋体" w:hAnsi="宋体" w:cs="仿宋"/>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rPr>
          <w:rFonts w:hint="eastAsia" w:ascii="宋体" w:hAnsi="宋体" w:cs="仿宋"/>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highlight w:val="none"/>
        </w:rPr>
      </w:r>
      <w:r/>
    </w:p>
    <w:p>
      <w:pPr>
        <w:pStyle w:val="881"/>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rPr>
          <w:rFonts w:hint="eastAsia" w:ascii="宋体" w:hAnsi="宋体" w:cs="仿宋"/>
          <w:color w:val="000000"/>
          <w:sz w:val="24"/>
          <w:szCs w:val="24"/>
          <w:highlight w:val="none"/>
        </w:rPr>
      </w:r>
      <w:r/>
    </w:p>
    <w:p>
      <w:pPr>
        <w:pStyle w:val="881"/>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rPr>
        <w:rStyle w:val="954"/>
        <w:rFonts w:ascii="宋体" w:hAnsi="宋体"/>
      </w:rPr>
      <w:framePr w:wrap="around" w:vAnchor="text" w:hAnchor="margin" w:xAlign="center" w:y="1"/>
    </w:pPr>
    <w:r>
      <w:rPr>
        <w:rFonts w:ascii="宋体" w:hAnsi="宋体"/>
      </w:rPr>
      <w:fldChar w:fldCharType="begin"/>
    </w:r>
    <w:r>
      <w:rPr>
        <w:rStyle w:val="954"/>
        <w:rFonts w:ascii="宋体" w:hAnsi="宋体"/>
      </w:rPr>
      <w:instrText xml:space="preserve">PAGE  </w:instrText>
    </w:r>
    <w:r>
      <w:rPr>
        <w:rFonts w:ascii="宋体" w:hAnsi="宋体"/>
      </w:rPr>
      <w:fldChar w:fldCharType="separate"/>
    </w:r>
    <w:r>
      <w:rPr>
        <w:rStyle w:val="954"/>
        <w:rFonts w:ascii="宋体" w:hAnsi="宋体"/>
      </w:rPr>
      <w:t xml:space="preserve">８３</w:t>
    </w:r>
    <w:r>
      <w:rPr>
        <w:rFonts w:ascii="宋体" w:hAnsi="宋体"/>
      </w:rPr>
      <w:fldChar w:fldCharType="end"/>
    </w:r>
    <w:r>
      <w:rPr>
        <w:rStyle w:val="954"/>
        <w:rFonts w:ascii="宋体" w:hAnsi="宋体"/>
      </w:rPr>
    </w:r>
    <w:r/>
  </w:p>
  <w:p>
    <w:pPr>
      <w:pStyle w:val="93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rPr>
        <w:rStyle w:val="954"/>
      </w:rPr>
      <w:framePr w:wrap="around" w:vAnchor="text" w:hAnchor="margin" w:xAlign="center" w:y="1"/>
    </w:pPr>
    <w:r>
      <w:fldChar w:fldCharType="begin"/>
    </w:r>
    <w:r>
      <w:rPr>
        <w:rStyle w:val="954"/>
      </w:rPr>
      <w:instrText xml:space="preserve">PAGE  </w:instrText>
    </w:r>
    <w:r>
      <w:fldChar w:fldCharType="separate"/>
    </w:r>
    <w:r>
      <w:rPr>
        <w:rStyle w:val="954"/>
      </w:rPr>
      <w:t xml:space="preserve">1</w:t>
    </w:r>
    <w:r>
      <w:fldChar w:fldCharType="end"/>
    </w:r>
    <w:r>
      <w:rPr>
        <w:rStyle w:val="954"/>
      </w:rPr>
    </w:r>
    <w:r/>
  </w:p>
  <w:p>
    <w:pPr>
      <w:pStyle w:val="93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8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abstractNum w:abstractNumId="2">
    <w:multiLevelType w:val="hybridMultilevel"/>
    <w:lvl w:ilvl="0">
      <w:start w:val="1"/>
      <w:numFmt w:val="upperLetter"/>
      <w:pStyle w:val="962"/>
      <w:isLgl w:val="false"/>
      <w:suff w:val="tab"/>
      <w:lvlText w:val="附录%1."/>
      <w:lvlJc w:val="left"/>
      <w:pPr>
        <w:pStyle w:val="88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79"/>
      <w:isLgl w:val="false"/>
      <w:suff w:val="tab"/>
      <w:lvlText w:val="%1."/>
      <w:lvlJc w:val="left"/>
      <w:pPr>
        <w:pStyle w:val="881"/>
        <w:ind w:left="709" w:hanging="709"/>
        <w:tabs>
          <w:tab w:val="num" w:pos="709" w:leader="none"/>
        </w:tabs>
      </w:pPr>
      <w:rPr>
        <w:rFonts w:hint="eastAsia"/>
      </w:rPr>
    </w:lvl>
    <w:lvl w:ilvl="1">
      <w:start w:val="1"/>
      <w:numFmt w:val="decimal"/>
      <w:isLgl w:val="false"/>
      <w:suff w:val="tab"/>
      <w:lvlText w:val="%1.%2"/>
      <w:lvlJc w:val="left"/>
      <w:pPr>
        <w:pStyle w:val="881"/>
        <w:ind w:left="709" w:hanging="709"/>
        <w:tabs>
          <w:tab w:val="num" w:pos="709" w:leader="none"/>
        </w:tabs>
      </w:pPr>
      <w:rPr>
        <w:rFonts w:hint="eastAsia"/>
      </w:rPr>
    </w:lvl>
    <w:lvl w:ilvl="2">
      <w:start w:val="1"/>
      <w:numFmt w:val="decimal"/>
      <w:isLgl w:val="false"/>
      <w:suff w:val="tab"/>
      <w:lvlText w:val="%1.%2.%3."/>
      <w:lvlJc w:val="left"/>
      <w:pPr>
        <w:pStyle w:val="881"/>
        <w:ind w:left="425" w:hanging="425"/>
        <w:tabs>
          <w:tab w:val="num" w:pos="425" w:leader="none"/>
        </w:tabs>
      </w:pPr>
      <w:rPr>
        <w:rFonts w:hint="eastAsia"/>
      </w:rPr>
    </w:lvl>
    <w:lvl w:ilvl="3">
      <w:start w:val="1"/>
      <w:numFmt w:val="decimal"/>
      <w:isLgl w:val="false"/>
      <w:suff w:val="tab"/>
      <w:lvlText w:val="%1.%2.%3.%4."/>
      <w:lvlJc w:val="left"/>
      <w:pPr>
        <w:pStyle w:val="881"/>
        <w:ind w:left="851" w:hanging="851"/>
        <w:tabs>
          <w:tab w:val="num" w:pos="851" w:leader="none"/>
        </w:tabs>
      </w:pPr>
      <w:rPr>
        <w:rFonts w:hint="eastAsia"/>
      </w:rPr>
    </w:lvl>
    <w:lvl w:ilvl="4">
      <w:start w:val="1"/>
      <w:numFmt w:val="decimal"/>
      <w:isLgl w:val="false"/>
      <w:suff w:val="tab"/>
      <w:lvlText w:val="%1.%2.%3.%4.%5."/>
      <w:lvlJc w:val="left"/>
      <w:pPr>
        <w:pStyle w:val="881"/>
        <w:ind w:left="992" w:hanging="992"/>
        <w:tabs>
          <w:tab w:val="num" w:pos="992" w:leader="none"/>
        </w:tabs>
      </w:pPr>
      <w:rPr>
        <w:rFonts w:hint="eastAsia"/>
      </w:rPr>
    </w:lvl>
    <w:lvl w:ilvl="5">
      <w:start w:val="1"/>
      <w:numFmt w:val="decimal"/>
      <w:isLgl w:val="false"/>
      <w:suff w:val="tab"/>
      <w:lvlText w:val="%1.%2.%3.%4.%5.%6."/>
      <w:lvlJc w:val="left"/>
      <w:pPr>
        <w:pStyle w:val="881"/>
        <w:ind w:left="1134" w:hanging="1134"/>
        <w:tabs>
          <w:tab w:val="num" w:pos="1134" w:leader="none"/>
        </w:tabs>
      </w:pPr>
      <w:rPr>
        <w:rFonts w:hint="eastAsia"/>
      </w:rPr>
    </w:lvl>
    <w:lvl w:ilvl="6">
      <w:start w:val="1"/>
      <w:numFmt w:val="decimal"/>
      <w:isLgl w:val="false"/>
      <w:suff w:val="tab"/>
      <w:lvlText w:val="%1.%2.%3.%4.%5.%6.%7."/>
      <w:lvlJc w:val="left"/>
      <w:pPr>
        <w:pStyle w:val="881"/>
        <w:ind w:left="1276" w:hanging="1276"/>
        <w:tabs>
          <w:tab w:val="num" w:pos="1276" w:leader="none"/>
        </w:tabs>
      </w:pPr>
      <w:rPr>
        <w:rFonts w:hint="eastAsia"/>
      </w:rPr>
    </w:lvl>
    <w:lvl w:ilvl="7">
      <w:start w:val="1"/>
      <w:numFmt w:val="decimal"/>
      <w:isLgl w:val="false"/>
      <w:suff w:val="tab"/>
      <w:lvlText w:val="%1.%2.%3.%4.%5.%6.%7.%8."/>
      <w:lvlJc w:val="left"/>
      <w:pPr>
        <w:pStyle w:val="881"/>
        <w:ind w:left="1418" w:hanging="1418"/>
        <w:tabs>
          <w:tab w:val="num" w:pos="1418" w:leader="none"/>
        </w:tabs>
      </w:pPr>
      <w:rPr>
        <w:rFonts w:hint="eastAsia"/>
      </w:rPr>
    </w:lvl>
    <w:lvl w:ilvl="8">
      <w:start w:val="1"/>
      <w:numFmt w:val="decimal"/>
      <w:isLgl w:val="false"/>
      <w:suff w:val="tab"/>
      <w:lvlText w:val="%1.%2.%3.%4.%5.%6.%7.%8.%9."/>
      <w:lvlJc w:val="left"/>
      <w:pPr>
        <w:pStyle w:val="881"/>
        <w:ind w:left="1559" w:hanging="1559"/>
        <w:tabs>
          <w:tab w:val="num" w:pos="1559" w:leader="none"/>
        </w:tabs>
      </w:pPr>
      <w:rPr>
        <w:rFonts w:hint="eastAsia"/>
      </w:rPr>
    </w:lvl>
  </w:abstractNum>
  <w:abstractNum w:abstractNumId="8">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pStyle w:val="881"/>
        <w:ind w:left="0" w:firstLine="0"/>
      </w:pPr>
      <w:rPr>
        <w:rFonts w:hint="eastAsia"/>
      </w:rPr>
    </w:lvl>
    <w:lvl w:ilvl="1">
      <w:start w:val="1"/>
      <w:numFmt w:val="decimal"/>
      <w:isLgl w:val="false"/>
      <w:suff w:val="nothing"/>
      <w:lvlText w:val="%2、"/>
      <w:lvlJc w:val="left"/>
      <w:pPr>
        <w:pStyle w:val="881"/>
        <w:ind w:left="0" w:firstLine="0"/>
      </w:pPr>
      <w:rPr>
        <w:rFonts w:hint="eastAsia"/>
      </w:rPr>
    </w:lvl>
    <w:lvl w:ilvl="2">
      <w:start w:val="1"/>
      <w:numFmt w:val="decimal"/>
      <w:isLgl w:val="false"/>
      <w:suff w:val="nothing"/>
      <w:lvlText w:val="%2.%3 "/>
      <w:lvlJc w:val="left"/>
      <w:pPr>
        <w:pStyle w:val="881"/>
        <w:ind w:left="0" w:firstLine="0"/>
      </w:pPr>
      <w:rPr>
        <w:rFonts w:hint="eastAsia"/>
      </w:rPr>
    </w:lvl>
    <w:lvl w:ilvl="3">
      <w:start w:val="1"/>
      <w:numFmt w:val="decimal"/>
      <w:isLgl w:val="false"/>
      <w:suff w:val="nothing"/>
      <w:lvlText w:val="%2.%3.%4 "/>
      <w:lvlJc w:val="left"/>
      <w:pPr>
        <w:pStyle w:val="881"/>
        <w:ind w:left="0" w:firstLine="0"/>
      </w:pPr>
      <w:rPr>
        <w:rFonts w:hint="eastAsia"/>
      </w:rPr>
    </w:lvl>
    <w:lvl w:ilvl="4">
      <w:start w:val="1"/>
      <w:numFmt w:val="decimal"/>
      <w:isLgl w:val="false"/>
      <w:suff w:val="nothing"/>
      <w:lvlText w:val="%2.%3.%4.%5 "/>
      <w:lvlJc w:val="left"/>
      <w:pPr>
        <w:pStyle w:val="881"/>
        <w:ind w:left="0" w:firstLine="0"/>
      </w:pPr>
      <w:rPr>
        <w:rFonts w:hint="eastAsia"/>
      </w:rPr>
    </w:lvl>
    <w:lvl w:ilvl="5">
      <w:start w:val="1"/>
      <w:numFmt w:val="decimal"/>
      <w:pStyle w:val="887"/>
      <w:isLgl w:val="false"/>
      <w:suff w:val="nothing"/>
      <w:lvlText w:val=""/>
      <w:lvlJc w:val="left"/>
      <w:pPr>
        <w:pStyle w:val="881"/>
        <w:ind w:left="0" w:firstLine="0"/>
      </w:pPr>
      <w:rPr>
        <w:rFonts w:hint="eastAsia"/>
      </w:rPr>
    </w:lvl>
    <w:lvl w:ilvl="6">
      <w:start w:val="1"/>
      <w:numFmt w:val="decimal"/>
      <w:pStyle w:val="888"/>
      <w:isLgl w:val="false"/>
      <w:suff w:val="nothing"/>
      <w:lvlText w:val=""/>
      <w:lvlJc w:val="left"/>
      <w:pPr>
        <w:pStyle w:val="881"/>
        <w:ind w:left="0" w:firstLine="0"/>
      </w:pPr>
      <w:rPr>
        <w:rFonts w:hint="eastAsia"/>
      </w:rPr>
    </w:lvl>
    <w:lvl w:ilvl="7">
      <w:start w:val="1"/>
      <w:numFmt w:val="decimal"/>
      <w:pStyle w:val="889"/>
      <w:isLgl w:val="false"/>
      <w:suff w:val="nothing"/>
      <w:lvlText w:val=""/>
      <w:lvlJc w:val="left"/>
      <w:pPr>
        <w:pStyle w:val="881"/>
        <w:ind w:left="0" w:firstLine="0"/>
      </w:pPr>
      <w:rPr>
        <w:rFonts w:hint="eastAsia"/>
      </w:rPr>
    </w:lvl>
    <w:lvl w:ilvl="8">
      <w:start w:val="1"/>
      <w:numFmt w:val="decimal"/>
      <w:pStyle w:val="890"/>
      <w:isLgl w:val="false"/>
      <w:suff w:val="nothing"/>
      <w:lvlText w:val=""/>
      <w:lvlJc w:val="left"/>
      <w:pPr>
        <w:pStyle w:val="881"/>
        <w:ind w:left="0" w:firstLine="0"/>
      </w:pPr>
      <w:rPr>
        <w:rFonts w:hint="eastAsia"/>
      </w:rPr>
    </w:lvl>
  </w:abstractNum>
  <w:num w:numId="1">
    <w:abstractNumId w:val="9"/>
  </w:num>
  <w:num w:numId="2">
    <w:abstractNumId w:val="2"/>
  </w:num>
  <w:num w:numId="3">
    <w:abstractNumId w:val="7"/>
  </w:num>
  <w:num w:numId="4">
    <w:abstractNumId w:val="1"/>
  </w:num>
  <w:num w:numId="5">
    <w:abstractNumId w:val="4"/>
  </w:num>
  <w:num w:numId="6">
    <w:abstractNumId w:val="5"/>
  </w:num>
  <w:num w:numId="7">
    <w:abstractNumId w:val="3"/>
  </w:num>
  <w:num w:numId="8">
    <w:abstractNumId w:val="0"/>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1"/>
    <w:basedOn w:val="881"/>
    <w:next w:val="881"/>
    <w:link w:val="704"/>
    <w:uiPriority w:val="9"/>
    <w:qFormat/>
    <w:pPr>
      <w:keepLines/>
      <w:keepNext/>
      <w:spacing w:before="480" w:after="200"/>
      <w:outlineLvl w:val="0"/>
    </w:pPr>
    <w:rPr>
      <w:rFonts w:ascii="Arial" w:hAnsi="Arial" w:eastAsia="Arial" w:cs="Arial"/>
      <w:sz w:val="40"/>
      <w:szCs w:val="40"/>
    </w:rPr>
  </w:style>
  <w:style w:type="character" w:styleId="704">
    <w:name w:val="Heading 1 Char"/>
    <w:link w:val="703"/>
    <w:uiPriority w:val="9"/>
    <w:rPr>
      <w:rFonts w:ascii="Arial" w:hAnsi="Arial" w:eastAsia="Arial" w:cs="Arial"/>
      <w:sz w:val="40"/>
      <w:szCs w:val="40"/>
    </w:rPr>
  </w:style>
  <w:style w:type="paragraph" w:styleId="705">
    <w:name w:val="Heading 2"/>
    <w:basedOn w:val="881"/>
    <w:next w:val="881"/>
    <w:link w:val="706"/>
    <w:uiPriority w:val="9"/>
    <w:unhideWhenUsed/>
    <w:qFormat/>
    <w:pPr>
      <w:keepLines/>
      <w:keepNext/>
      <w:spacing w:before="360" w:after="200"/>
      <w:outlineLvl w:val="1"/>
    </w:pPr>
    <w:rPr>
      <w:rFonts w:ascii="Arial" w:hAnsi="Arial" w:eastAsia="Arial" w:cs="Arial"/>
      <w:sz w:val="34"/>
    </w:rPr>
  </w:style>
  <w:style w:type="character" w:styleId="706">
    <w:name w:val="Heading 2 Char"/>
    <w:link w:val="705"/>
    <w:uiPriority w:val="9"/>
    <w:rPr>
      <w:rFonts w:ascii="Arial" w:hAnsi="Arial" w:eastAsia="Arial" w:cs="Arial"/>
      <w:sz w:val="34"/>
    </w:rPr>
  </w:style>
  <w:style w:type="paragraph" w:styleId="707">
    <w:name w:val="Heading 3"/>
    <w:basedOn w:val="881"/>
    <w:next w:val="881"/>
    <w:link w:val="708"/>
    <w:uiPriority w:val="9"/>
    <w:unhideWhenUsed/>
    <w:qFormat/>
    <w:pPr>
      <w:keepLines/>
      <w:keepNext/>
      <w:spacing w:before="320" w:after="200"/>
      <w:outlineLvl w:val="2"/>
    </w:pPr>
    <w:rPr>
      <w:rFonts w:ascii="Arial" w:hAnsi="Arial" w:eastAsia="Arial" w:cs="Arial"/>
      <w:sz w:val="30"/>
      <w:szCs w:val="30"/>
    </w:rPr>
  </w:style>
  <w:style w:type="character" w:styleId="708">
    <w:name w:val="Heading 3 Char"/>
    <w:link w:val="707"/>
    <w:uiPriority w:val="9"/>
    <w:rPr>
      <w:rFonts w:ascii="Arial" w:hAnsi="Arial" w:eastAsia="Arial" w:cs="Arial"/>
      <w:sz w:val="30"/>
      <w:szCs w:val="30"/>
    </w:rPr>
  </w:style>
  <w:style w:type="paragraph" w:styleId="709">
    <w:name w:val="Heading 4"/>
    <w:basedOn w:val="881"/>
    <w:next w:val="881"/>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link w:val="709"/>
    <w:uiPriority w:val="9"/>
    <w:rPr>
      <w:rFonts w:ascii="Arial" w:hAnsi="Arial" w:eastAsia="Arial" w:cs="Arial"/>
      <w:b/>
      <w:bCs/>
      <w:sz w:val="26"/>
      <w:szCs w:val="26"/>
    </w:rPr>
  </w:style>
  <w:style w:type="paragraph" w:styleId="711">
    <w:name w:val="Heading 5"/>
    <w:basedOn w:val="881"/>
    <w:next w:val="881"/>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link w:val="711"/>
    <w:uiPriority w:val="9"/>
    <w:rPr>
      <w:rFonts w:ascii="Arial" w:hAnsi="Arial" w:eastAsia="Arial" w:cs="Arial"/>
      <w:b/>
      <w:bCs/>
      <w:sz w:val="24"/>
      <w:szCs w:val="24"/>
    </w:rPr>
  </w:style>
  <w:style w:type="paragraph" w:styleId="713">
    <w:name w:val="Heading 6"/>
    <w:basedOn w:val="881"/>
    <w:next w:val="881"/>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link w:val="713"/>
    <w:uiPriority w:val="9"/>
    <w:rPr>
      <w:rFonts w:ascii="Arial" w:hAnsi="Arial" w:eastAsia="Arial" w:cs="Arial"/>
      <w:b/>
      <w:bCs/>
      <w:sz w:val="22"/>
      <w:szCs w:val="22"/>
    </w:rPr>
  </w:style>
  <w:style w:type="paragraph" w:styleId="715">
    <w:name w:val="Heading 7"/>
    <w:basedOn w:val="881"/>
    <w:next w:val="881"/>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link w:val="715"/>
    <w:uiPriority w:val="9"/>
    <w:rPr>
      <w:rFonts w:ascii="Arial" w:hAnsi="Arial" w:eastAsia="Arial" w:cs="Arial"/>
      <w:b/>
      <w:bCs/>
      <w:i/>
      <w:iCs/>
      <w:sz w:val="22"/>
      <w:szCs w:val="22"/>
    </w:rPr>
  </w:style>
  <w:style w:type="paragraph" w:styleId="717">
    <w:name w:val="Heading 8"/>
    <w:basedOn w:val="881"/>
    <w:next w:val="881"/>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link w:val="717"/>
    <w:uiPriority w:val="9"/>
    <w:rPr>
      <w:rFonts w:ascii="Arial" w:hAnsi="Arial" w:eastAsia="Arial" w:cs="Arial"/>
      <w:i/>
      <w:iCs/>
      <w:sz w:val="22"/>
      <w:szCs w:val="22"/>
    </w:rPr>
  </w:style>
  <w:style w:type="paragraph" w:styleId="719">
    <w:name w:val="Heading 9"/>
    <w:basedOn w:val="881"/>
    <w:next w:val="881"/>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link w:val="719"/>
    <w:uiPriority w:val="9"/>
    <w:rPr>
      <w:rFonts w:ascii="Arial" w:hAnsi="Arial" w:eastAsia="Arial" w:cs="Arial"/>
      <w:i/>
      <w:iCs/>
      <w:sz w:val="21"/>
      <w:szCs w:val="21"/>
    </w:rPr>
  </w:style>
  <w:style w:type="paragraph" w:styleId="721">
    <w:name w:val="List Paragraph"/>
    <w:basedOn w:val="881"/>
    <w:uiPriority w:val="34"/>
    <w:qFormat/>
    <w:pPr>
      <w:contextualSpacing/>
      <w:ind w:left="720"/>
    </w:pPr>
  </w:style>
  <w:style w:type="paragraph" w:styleId="722">
    <w:name w:val="No Spacing"/>
    <w:uiPriority w:val="1"/>
    <w:qFormat/>
    <w:pPr>
      <w:spacing w:before="0" w:after="0" w:line="240" w:lineRule="auto"/>
    </w:pPr>
  </w:style>
  <w:style w:type="paragraph" w:styleId="723">
    <w:name w:val="Title"/>
    <w:basedOn w:val="881"/>
    <w:next w:val="881"/>
    <w:link w:val="724"/>
    <w:uiPriority w:val="10"/>
    <w:qFormat/>
    <w:pPr>
      <w:contextualSpacing/>
      <w:spacing w:before="300" w:after="200"/>
    </w:pPr>
    <w:rPr>
      <w:sz w:val="48"/>
      <w:szCs w:val="48"/>
    </w:rPr>
  </w:style>
  <w:style w:type="character" w:styleId="724">
    <w:name w:val="Title Char"/>
    <w:link w:val="723"/>
    <w:uiPriority w:val="10"/>
    <w:rPr>
      <w:sz w:val="48"/>
      <w:szCs w:val="48"/>
    </w:rPr>
  </w:style>
  <w:style w:type="paragraph" w:styleId="725">
    <w:name w:val="Subtitle"/>
    <w:basedOn w:val="881"/>
    <w:next w:val="881"/>
    <w:link w:val="726"/>
    <w:uiPriority w:val="11"/>
    <w:qFormat/>
    <w:pPr>
      <w:spacing w:before="200" w:after="200"/>
    </w:pPr>
    <w:rPr>
      <w:sz w:val="24"/>
      <w:szCs w:val="24"/>
    </w:rPr>
  </w:style>
  <w:style w:type="character" w:styleId="726">
    <w:name w:val="Subtitle Char"/>
    <w:link w:val="725"/>
    <w:uiPriority w:val="11"/>
    <w:rPr>
      <w:sz w:val="24"/>
      <w:szCs w:val="24"/>
    </w:rPr>
  </w:style>
  <w:style w:type="paragraph" w:styleId="727">
    <w:name w:val="Quote"/>
    <w:basedOn w:val="881"/>
    <w:next w:val="881"/>
    <w:link w:val="728"/>
    <w:uiPriority w:val="29"/>
    <w:qFormat/>
    <w:pPr>
      <w:ind w:left="720" w:right="720"/>
    </w:pPr>
    <w:rPr>
      <w:i/>
    </w:rPr>
  </w:style>
  <w:style w:type="character" w:styleId="728">
    <w:name w:val="Quote Char"/>
    <w:link w:val="727"/>
    <w:uiPriority w:val="29"/>
    <w:rPr>
      <w:i/>
    </w:rPr>
  </w:style>
  <w:style w:type="paragraph" w:styleId="729">
    <w:name w:val="Intense Quote"/>
    <w:basedOn w:val="881"/>
    <w:next w:val="881"/>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paragraph" w:styleId="731">
    <w:name w:val="Header"/>
    <w:basedOn w:val="881"/>
    <w:link w:val="732"/>
    <w:uiPriority w:val="99"/>
    <w:unhideWhenUsed/>
    <w:pPr>
      <w:spacing w:after="0" w:line="240" w:lineRule="auto"/>
      <w:tabs>
        <w:tab w:val="center" w:pos="7143" w:leader="none"/>
        <w:tab w:val="right" w:pos="14287" w:leader="none"/>
      </w:tabs>
    </w:pPr>
  </w:style>
  <w:style w:type="character" w:styleId="732">
    <w:name w:val="Header Char"/>
    <w:link w:val="731"/>
    <w:uiPriority w:val="99"/>
  </w:style>
  <w:style w:type="paragraph" w:styleId="733">
    <w:name w:val="Footer"/>
    <w:basedOn w:val="881"/>
    <w:link w:val="736"/>
    <w:uiPriority w:val="99"/>
    <w:unhideWhenUsed/>
    <w:pPr>
      <w:spacing w:after="0" w:line="240" w:lineRule="auto"/>
      <w:tabs>
        <w:tab w:val="center" w:pos="7143" w:leader="none"/>
        <w:tab w:val="right" w:pos="14287" w:leader="none"/>
      </w:tabs>
    </w:pPr>
  </w:style>
  <w:style w:type="character" w:styleId="734">
    <w:name w:val="Footer Char"/>
    <w:link w:val="733"/>
    <w:uiPriority w:val="99"/>
  </w:style>
  <w:style w:type="paragraph" w:styleId="735">
    <w:name w:val="Caption"/>
    <w:basedOn w:val="881"/>
    <w:next w:val="881"/>
    <w:uiPriority w:val="35"/>
    <w:semiHidden/>
    <w:unhideWhenUsed/>
    <w:qFormat/>
    <w:pPr>
      <w:spacing w:line="276" w:lineRule="auto"/>
    </w:pPr>
    <w:rPr>
      <w:b/>
      <w:bCs/>
      <w:color w:val="4f81bd" w:themeColor="accent1"/>
      <w:sz w:val="18"/>
      <w:szCs w:val="18"/>
    </w:rPr>
  </w:style>
  <w:style w:type="character" w:styleId="736">
    <w:name w:val="Caption Char"/>
    <w:basedOn w:val="735"/>
    <w:link w:val="733"/>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93"/>
    <w:link w:val="881"/>
    <w:qFormat/>
    <w:pPr>
      <w:jc w:val="both"/>
      <w:widowControl w:val="off"/>
    </w:pPr>
    <w:rPr>
      <w:sz w:val="21"/>
      <w:szCs w:val="22"/>
      <w:lang w:val="en-US" w:eastAsia="zh-CN" w:bidi="ar-SA"/>
    </w:rPr>
  </w:style>
  <w:style w:type="paragraph" w:styleId="882">
    <w:name w:val="标题 1"/>
    <w:basedOn w:val="881"/>
    <w:next w:val="881"/>
    <w:link w:val="898"/>
    <w:qFormat/>
    <w:pPr>
      <w:jc w:val="center"/>
      <w:keepNext/>
      <w:outlineLvl w:val="0"/>
    </w:pPr>
    <w:rPr>
      <w:rFonts w:ascii="楷体_GB2312" w:eastAsia="楷体_GB2312"/>
      <w:sz w:val="28"/>
      <w:szCs w:val="28"/>
    </w:rPr>
  </w:style>
  <w:style w:type="paragraph" w:styleId="883">
    <w:name w:val="标题 2"/>
    <w:basedOn w:val="881"/>
    <w:next w:val="900"/>
    <w:link w:val="899"/>
    <w:qFormat/>
    <w:pPr>
      <w:jc w:val="center"/>
      <w:keepLines/>
      <w:keepNext/>
      <w:spacing w:before="260" w:after="260" w:line="416" w:lineRule="auto"/>
      <w:outlineLvl w:val="1"/>
    </w:pPr>
    <w:rPr>
      <w:rFonts w:ascii="Arial" w:hAnsi="Arial" w:eastAsia="幼圆"/>
      <w:b/>
      <w:bCs/>
      <w:sz w:val="44"/>
      <w:szCs w:val="44"/>
    </w:rPr>
  </w:style>
  <w:style w:type="paragraph" w:styleId="884">
    <w:name w:val="标题 3"/>
    <w:basedOn w:val="881"/>
    <w:next w:val="900"/>
    <w:link w:val="902"/>
    <w:qFormat/>
    <w:pPr>
      <w:keepLines/>
      <w:keepNext/>
      <w:spacing w:before="260" w:after="260" w:line="416" w:lineRule="auto"/>
      <w:outlineLvl w:val="2"/>
    </w:pPr>
    <w:rPr>
      <w:b/>
      <w:bCs/>
      <w:sz w:val="32"/>
      <w:szCs w:val="32"/>
    </w:rPr>
  </w:style>
  <w:style w:type="paragraph" w:styleId="885">
    <w:name w:val="标题 4"/>
    <w:basedOn w:val="881"/>
    <w:next w:val="900"/>
    <w:link w:val="903"/>
    <w:qFormat/>
    <w:pPr>
      <w:keepLines/>
      <w:keepNext/>
      <w:spacing w:before="280" w:after="290" w:line="376" w:lineRule="auto"/>
      <w:outlineLvl w:val="3"/>
    </w:pPr>
    <w:rPr>
      <w:rFonts w:ascii="Arial" w:hAnsi="Arial" w:eastAsia="黑体"/>
      <w:b/>
      <w:bCs/>
      <w:sz w:val="28"/>
      <w:szCs w:val="28"/>
    </w:rPr>
  </w:style>
  <w:style w:type="paragraph" w:styleId="886">
    <w:name w:val="标题 5"/>
    <w:basedOn w:val="881"/>
    <w:next w:val="900"/>
    <w:link w:val="904"/>
    <w:qFormat/>
    <w:pPr>
      <w:keepNext/>
      <w:outlineLvl w:val="4"/>
    </w:pPr>
    <w:rPr>
      <w:rFonts w:ascii="宋体"/>
      <w:color w:val="000000"/>
      <w:sz w:val="28"/>
      <w:szCs w:val="28"/>
    </w:rPr>
  </w:style>
  <w:style w:type="paragraph" w:styleId="887">
    <w:name w:val="标题 6"/>
    <w:basedOn w:val="881"/>
    <w:next w:val="881"/>
    <w:link w:val="905"/>
    <w:qFormat/>
    <w:pPr>
      <w:numPr>
        <w:ilvl w:val="5"/>
        <w:numId w:val="1"/>
      </w:numPr>
      <w:keepLines/>
      <w:keepNext/>
      <w:spacing w:before="240" w:after="64" w:line="320" w:lineRule="auto"/>
      <w:outlineLvl w:val="5"/>
    </w:pPr>
    <w:rPr>
      <w:rFonts w:ascii="Arial" w:hAnsi="Arial" w:eastAsia="黑体"/>
      <w:b/>
      <w:bCs/>
      <w:sz w:val="24"/>
      <w:szCs w:val="24"/>
    </w:rPr>
  </w:style>
  <w:style w:type="paragraph" w:styleId="888">
    <w:name w:val="标题 7"/>
    <w:basedOn w:val="881"/>
    <w:next w:val="881"/>
    <w:link w:val="906"/>
    <w:qFormat/>
    <w:pPr>
      <w:numPr>
        <w:ilvl w:val="6"/>
        <w:numId w:val="1"/>
      </w:numPr>
      <w:keepLines/>
      <w:keepNext/>
      <w:spacing w:before="240" w:after="64" w:line="320" w:lineRule="auto"/>
      <w:outlineLvl w:val="6"/>
    </w:pPr>
    <w:rPr>
      <w:b/>
      <w:bCs/>
      <w:sz w:val="24"/>
      <w:szCs w:val="24"/>
    </w:rPr>
  </w:style>
  <w:style w:type="paragraph" w:styleId="889">
    <w:name w:val="标题 8"/>
    <w:basedOn w:val="881"/>
    <w:next w:val="881"/>
    <w:link w:val="907"/>
    <w:qFormat/>
    <w:pPr>
      <w:numPr>
        <w:ilvl w:val="7"/>
        <w:numId w:val="1"/>
      </w:numPr>
      <w:keepLines/>
      <w:keepNext/>
      <w:spacing w:before="240" w:after="64" w:line="320" w:lineRule="auto"/>
      <w:outlineLvl w:val="7"/>
    </w:pPr>
    <w:rPr>
      <w:rFonts w:ascii="Arial" w:hAnsi="Arial" w:eastAsia="黑体"/>
      <w:sz w:val="24"/>
      <w:szCs w:val="24"/>
    </w:rPr>
  </w:style>
  <w:style w:type="paragraph" w:styleId="890">
    <w:name w:val="标题 9"/>
    <w:basedOn w:val="881"/>
    <w:next w:val="881"/>
    <w:link w:val="908"/>
    <w:qFormat/>
    <w:pPr>
      <w:numPr>
        <w:ilvl w:val="8"/>
        <w:numId w:val="1"/>
      </w:numPr>
      <w:keepLines/>
      <w:keepNext/>
      <w:spacing w:before="240" w:after="64" w:line="320" w:lineRule="auto"/>
      <w:outlineLvl w:val="8"/>
    </w:pPr>
    <w:rPr>
      <w:rFonts w:ascii="Arial" w:hAnsi="Arial" w:eastAsia="黑体"/>
      <w:sz w:val="20"/>
      <w:szCs w:val="21"/>
    </w:rPr>
  </w:style>
  <w:style w:type="character" w:styleId="891">
    <w:name w:val="默认段落字体"/>
    <w:next w:val="891"/>
    <w:link w:val="881"/>
    <w:uiPriority w:val="1"/>
    <w:unhideWhenUsed/>
  </w:style>
  <w:style w:type="table" w:styleId="892">
    <w:name w:val="普通表格"/>
    <w:next w:val="892"/>
    <w:link w:val="88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93">
    <w:name w:val="正文首行缩进 2"/>
    <w:basedOn w:val="894"/>
    <w:next w:val="881"/>
    <w:link w:val="897"/>
    <w:pPr>
      <w:ind w:left="0" w:firstLine="420"/>
      <w:spacing w:after="0" w:line="360" w:lineRule="auto"/>
    </w:pPr>
    <w:rPr>
      <w:rFonts w:ascii="宋体" w:hAnsi="宋体"/>
      <w:sz w:val="20"/>
      <w:szCs w:val="20"/>
    </w:rPr>
  </w:style>
  <w:style w:type="paragraph" w:styleId="894">
    <w:name w:val="正文文本缩进"/>
    <w:basedOn w:val="881"/>
    <w:next w:val="896"/>
    <w:link w:val="895"/>
    <w:unhideWhenUsed/>
    <w:pPr>
      <w:ind w:left="420"/>
      <w:spacing w:after="120"/>
    </w:pPr>
  </w:style>
  <w:style w:type="character" w:styleId="895">
    <w:name w:val="正文文本缩进 Char"/>
    <w:basedOn w:val="891"/>
    <w:next w:val="895"/>
    <w:link w:val="894"/>
    <w:uiPriority w:val="99"/>
    <w:semiHidden/>
  </w:style>
  <w:style w:type="paragraph" w:styleId="896">
    <w:name w:val="寄信人地址"/>
    <w:basedOn w:val="881"/>
    <w:next w:val="896"/>
    <w:link w:val="881"/>
    <w:qFormat/>
    <w:rPr>
      <w:rFonts w:ascii="Arial" w:hAnsi="Arial" w:eastAsia="宋体" w:cs="宋体"/>
    </w:rPr>
  </w:style>
  <w:style w:type="character" w:styleId="897">
    <w:name w:val="正文首行缩进 2 Char"/>
    <w:next w:val="897"/>
    <w:link w:val="893"/>
    <w:rPr>
      <w:rFonts w:ascii="宋体" w:hAnsi="宋体" w:eastAsia="宋体" w:cs="Times New Roman"/>
      <w:szCs w:val="20"/>
    </w:rPr>
  </w:style>
  <w:style w:type="character" w:styleId="898">
    <w:name w:val="标题 1 Char"/>
    <w:next w:val="898"/>
    <w:link w:val="882"/>
    <w:rPr>
      <w:rFonts w:ascii="楷体_GB2312" w:hAnsi="Times New Roman" w:eastAsia="楷体_GB2312" w:cs="Times New Roman"/>
      <w:sz w:val="28"/>
      <w:szCs w:val="28"/>
    </w:rPr>
  </w:style>
  <w:style w:type="character" w:styleId="899">
    <w:name w:val="标题 2 Char"/>
    <w:next w:val="899"/>
    <w:link w:val="883"/>
    <w:rPr>
      <w:rFonts w:ascii="Arial" w:hAnsi="Arial" w:eastAsia="幼圆" w:cs="Arial"/>
      <w:b/>
      <w:bCs/>
      <w:sz w:val="44"/>
      <w:szCs w:val="44"/>
    </w:rPr>
  </w:style>
  <w:style w:type="paragraph" w:styleId="900">
    <w:name w:val="正文缩进"/>
    <w:basedOn w:val="881"/>
    <w:next w:val="900"/>
    <w:link w:val="901"/>
    <w:pPr>
      <w:ind w:firstLine="420"/>
    </w:pPr>
    <w:rPr>
      <w:sz w:val="20"/>
      <w:szCs w:val="21"/>
    </w:rPr>
  </w:style>
  <w:style w:type="character" w:styleId="901">
    <w:name w:val="正文缩进 Char"/>
    <w:next w:val="901"/>
    <w:link w:val="900"/>
    <w:rPr>
      <w:szCs w:val="21"/>
    </w:rPr>
  </w:style>
  <w:style w:type="character" w:styleId="902">
    <w:name w:val="标题 3 Char"/>
    <w:next w:val="902"/>
    <w:link w:val="884"/>
    <w:rPr>
      <w:rFonts w:ascii="Times New Roman" w:hAnsi="Times New Roman" w:eastAsia="宋体" w:cs="Times New Roman"/>
      <w:b/>
      <w:bCs/>
      <w:sz w:val="32"/>
      <w:szCs w:val="32"/>
    </w:rPr>
  </w:style>
  <w:style w:type="character" w:styleId="903">
    <w:name w:val="标题 4 Char"/>
    <w:next w:val="903"/>
    <w:link w:val="885"/>
    <w:rPr>
      <w:rFonts w:ascii="Arial" w:hAnsi="Arial" w:eastAsia="黑体" w:cs="Arial"/>
      <w:b/>
      <w:bCs/>
      <w:sz w:val="28"/>
      <w:szCs w:val="28"/>
    </w:rPr>
  </w:style>
  <w:style w:type="character" w:styleId="904">
    <w:name w:val="标题 5 Char"/>
    <w:next w:val="904"/>
    <w:link w:val="886"/>
    <w:rPr>
      <w:rFonts w:ascii="宋体" w:hAnsi="Times New Roman" w:eastAsia="宋体" w:cs="Times New Roman"/>
      <w:color w:val="000000"/>
      <w:sz w:val="28"/>
      <w:szCs w:val="28"/>
    </w:rPr>
  </w:style>
  <w:style w:type="character" w:styleId="905">
    <w:name w:val="标题 6 Char"/>
    <w:next w:val="905"/>
    <w:link w:val="887"/>
    <w:rPr>
      <w:rFonts w:ascii="Arial" w:hAnsi="Arial" w:eastAsia="黑体" w:cs="Times New Roman"/>
      <w:b/>
      <w:bCs/>
      <w:sz w:val="24"/>
      <w:szCs w:val="24"/>
    </w:rPr>
  </w:style>
  <w:style w:type="character" w:styleId="906">
    <w:name w:val="标题 7 Char"/>
    <w:next w:val="906"/>
    <w:link w:val="888"/>
    <w:rPr>
      <w:rFonts w:ascii="Times New Roman" w:hAnsi="Times New Roman" w:eastAsia="宋体" w:cs="Times New Roman"/>
      <w:b/>
      <w:bCs/>
      <w:sz w:val="24"/>
      <w:szCs w:val="24"/>
    </w:rPr>
  </w:style>
  <w:style w:type="character" w:styleId="907">
    <w:name w:val="标题 8 Char"/>
    <w:next w:val="907"/>
    <w:link w:val="889"/>
    <w:rPr>
      <w:rFonts w:ascii="Arial" w:hAnsi="Arial" w:eastAsia="黑体" w:cs="Times New Roman"/>
      <w:sz w:val="24"/>
      <w:szCs w:val="24"/>
    </w:rPr>
  </w:style>
  <w:style w:type="character" w:styleId="908">
    <w:name w:val="标题 9 Char"/>
    <w:next w:val="908"/>
    <w:link w:val="890"/>
    <w:rPr>
      <w:rFonts w:ascii="Arial" w:hAnsi="Arial" w:eastAsia="黑体" w:cs="Times New Roman"/>
      <w:szCs w:val="21"/>
    </w:rPr>
  </w:style>
  <w:style w:type="paragraph" w:styleId="909">
    <w:name w:val="列表 3"/>
    <w:basedOn w:val="881"/>
    <w:next w:val="909"/>
    <w:link w:val="881"/>
    <w:pPr>
      <w:ind w:left="100" w:hanging="200"/>
    </w:pPr>
    <w:rPr>
      <w:rFonts w:ascii="Times New Roman" w:hAnsi="Times New Roman" w:eastAsia="宋体" w:cs="Times New Roman"/>
      <w:szCs w:val="21"/>
    </w:rPr>
  </w:style>
  <w:style w:type="paragraph" w:styleId="910">
    <w:name w:val="目录 7"/>
    <w:basedOn w:val="881"/>
    <w:next w:val="881"/>
    <w:link w:val="881"/>
    <w:semiHidden/>
    <w:pPr>
      <w:ind w:left="1260"/>
      <w:jc w:val="left"/>
    </w:pPr>
    <w:rPr>
      <w:rFonts w:ascii="Times New Roman" w:hAnsi="Times New Roman" w:eastAsia="宋体" w:cs="Times New Roman"/>
      <w:szCs w:val="21"/>
    </w:rPr>
  </w:style>
  <w:style w:type="paragraph" w:styleId="911">
    <w:name w:val="文档结构图"/>
    <w:basedOn w:val="881"/>
    <w:next w:val="911"/>
    <w:link w:val="912"/>
    <w:semiHidden/>
    <w:pPr>
      <w:shd w:val="clear" w:color="auto" w:fill="000080"/>
    </w:pPr>
    <w:rPr>
      <w:sz w:val="20"/>
      <w:szCs w:val="21"/>
    </w:rPr>
  </w:style>
  <w:style w:type="character" w:styleId="912">
    <w:name w:val="文档结构图 Char"/>
    <w:next w:val="912"/>
    <w:link w:val="911"/>
    <w:semiHidden/>
    <w:rPr>
      <w:rFonts w:ascii="Times New Roman" w:hAnsi="Times New Roman" w:eastAsia="宋体" w:cs="Times New Roman"/>
      <w:szCs w:val="21"/>
      <w:shd w:val="clear" w:color="auto" w:fill="000080"/>
    </w:rPr>
  </w:style>
  <w:style w:type="paragraph" w:styleId="913">
    <w:name w:val="批注文字"/>
    <w:basedOn w:val="881"/>
    <w:next w:val="913"/>
    <w:link w:val="914"/>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14">
    <w:name w:val="批注文字 Char"/>
    <w:basedOn w:val="891"/>
    <w:next w:val="914"/>
    <w:link w:val="913"/>
    <w:uiPriority w:val="99"/>
    <w:semiHidden/>
  </w:style>
  <w:style w:type="paragraph" w:styleId="915">
    <w:name w:val="正文文本 3"/>
    <w:basedOn w:val="881"/>
    <w:next w:val="915"/>
    <w:link w:val="916"/>
    <w:rPr>
      <w:rFonts w:ascii="仿宋_GB2312" w:hAnsi="Arial" w:eastAsia="仿宋_GB2312"/>
      <w:sz w:val="32"/>
      <w:szCs w:val="32"/>
    </w:rPr>
  </w:style>
  <w:style w:type="character" w:styleId="916">
    <w:name w:val="正文文本 3 Char"/>
    <w:next w:val="916"/>
    <w:link w:val="915"/>
    <w:rPr>
      <w:rFonts w:ascii="仿宋_GB2312" w:hAnsi="Arial" w:eastAsia="仿宋_GB2312" w:cs="Times New Roman"/>
      <w:sz w:val="32"/>
      <w:szCs w:val="32"/>
    </w:rPr>
  </w:style>
  <w:style w:type="paragraph" w:styleId="917">
    <w:name w:val="正文文本"/>
    <w:basedOn w:val="881"/>
    <w:next w:val="917"/>
    <w:link w:val="918"/>
    <w:rPr>
      <w:rFonts w:ascii="楷体_GB2312" w:hAnsi="Arial" w:eastAsia="楷体_GB2312"/>
      <w:sz w:val="28"/>
      <w:szCs w:val="28"/>
    </w:rPr>
  </w:style>
  <w:style w:type="character" w:styleId="918">
    <w:name w:val="正文文本 Char"/>
    <w:next w:val="918"/>
    <w:link w:val="917"/>
    <w:rPr>
      <w:rFonts w:ascii="楷体_GB2312" w:hAnsi="Arial" w:eastAsia="楷体_GB2312" w:cs="Times New Roman"/>
      <w:sz w:val="28"/>
      <w:szCs w:val="28"/>
    </w:rPr>
  </w:style>
  <w:style w:type="paragraph" w:styleId="919">
    <w:name w:val="列表 2"/>
    <w:basedOn w:val="881"/>
    <w:next w:val="919"/>
    <w:link w:val="881"/>
    <w:pPr>
      <w:ind w:left="100" w:hanging="200"/>
    </w:pPr>
    <w:rPr>
      <w:rFonts w:ascii="Times New Roman" w:hAnsi="Times New Roman" w:eastAsia="宋体" w:cs="Times New Roman"/>
      <w:szCs w:val="21"/>
    </w:rPr>
  </w:style>
  <w:style w:type="paragraph" w:styleId="920">
    <w:name w:val="目录 5"/>
    <w:basedOn w:val="881"/>
    <w:next w:val="881"/>
    <w:link w:val="881"/>
    <w:semiHidden/>
    <w:pPr>
      <w:ind w:left="840"/>
      <w:jc w:val="left"/>
    </w:pPr>
    <w:rPr>
      <w:rFonts w:ascii="Times New Roman" w:hAnsi="Times New Roman" w:eastAsia="宋体" w:cs="Times New Roman"/>
      <w:szCs w:val="21"/>
    </w:rPr>
  </w:style>
  <w:style w:type="paragraph" w:styleId="921">
    <w:name w:val="目录 3"/>
    <w:basedOn w:val="881"/>
    <w:next w:val="881"/>
    <w:link w:val="881"/>
    <w:semiHidden/>
    <w:pPr>
      <w:ind w:left="420"/>
      <w:jc w:val="left"/>
    </w:pPr>
    <w:rPr>
      <w:rFonts w:ascii="Times New Roman" w:hAnsi="Times New Roman" w:eastAsia="宋体" w:cs="Times New Roman"/>
      <w:i/>
      <w:iCs/>
      <w:szCs w:val="24"/>
    </w:rPr>
  </w:style>
  <w:style w:type="paragraph" w:styleId="922">
    <w:name w:val="纯文本"/>
    <w:basedOn w:val="881"/>
    <w:next w:val="922"/>
    <w:link w:val="923"/>
    <w:rPr>
      <w:rFonts w:ascii="宋体" w:hAnsi="Courier New"/>
      <w:sz w:val="20"/>
      <w:szCs w:val="21"/>
    </w:rPr>
  </w:style>
  <w:style w:type="character" w:styleId="923">
    <w:name w:val="纯文本 Char"/>
    <w:next w:val="923"/>
    <w:link w:val="922"/>
    <w:rPr>
      <w:rFonts w:ascii="宋体" w:hAnsi="Courier New" w:eastAsia="宋体" w:cs="Courier New"/>
      <w:szCs w:val="21"/>
    </w:rPr>
  </w:style>
  <w:style w:type="paragraph" w:styleId="924">
    <w:name w:val="目录 8"/>
    <w:basedOn w:val="881"/>
    <w:next w:val="881"/>
    <w:link w:val="881"/>
    <w:semiHidden/>
    <w:pPr>
      <w:ind w:left="1470"/>
      <w:jc w:val="left"/>
    </w:pPr>
    <w:rPr>
      <w:rFonts w:ascii="Times New Roman" w:hAnsi="Times New Roman" w:eastAsia="宋体" w:cs="Times New Roman"/>
      <w:szCs w:val="21"/>
    </w:rPr>
  </w:style>
  <w:style w:type="paragraph" w:styleId="925">
    <w:name w:val="日期"/>
    <w:basedOn w:val="881"/>
    <w:next w:val="881"/>
    <w:link w:val="926"/>
    <w:rPr>
      <w:sz w:val="24"/>
      <w:szCs w:val="24"/>
    </w:rPr>
  </w:style>
  <w:style w:type="character" w:styleId="926">
    <w:name w:val="日期 Char"/>
    <w:next w:val="926"/>
    <w:link w:val="925"/>
    <w:rPr>
      <w:rFonts w:ascii="Times New Roman" w:hAnsi="Times New Roman" w:eastAsia="宋体" w:cs="Times New Roman"/>
      <w:sz w:val="24"/>
      <w:szCs w:val="24"/>
    </w:rPr>
  </w:style>
  <w:style w:type="paragraph" w:styleId="927">
    <w:name w:val="正文文本缩进 2"/>
    <w:basedOn w:val="881"/>
    <w:next w:val="927"/>
    <w:link w:val="928"/>
    <w:pPr>
      <w:ind w:left="630" w:firstLine="645"/>
    </w:pPr>
    <w:rPr>
      <w:rFonts w:ascii="Arial" w:hAnsi="Arial" w:eastAsia="仿宋_GB2312"/>
      <w:sz w:val="32"/>
      <w:szCs w:val="32"/>
    </w:rPr>
  </w:style>
  <w:style w:type="character" w:styleId="928">
    <w:name w:val="正文文本缩进 2 Char"/>
    <w:next w:val="928"/>
    <w:link w:val="927"/>
    <w:rPr>
      <w:rFonts w:ascii="Arial" w:hAnsi="Arial" w:eastAsia="仿宋_GB2312" w:cs="Arial"/>
      <w:sz w:val="32"/>
      <w:szCs w:val="32"/>
    </w:rPr>
  </w:style>
  <w:style w:type="paragraph" w:styleId="929">
    <w:name w:val="批注框文本"/>
    <w:basedOn w:val="881"/>
    <w:next w:val="929"/>
    <w:link w:val="930"/>
    <w:semiHidden/>
    <w:rPr>
      <w:sz w:val="18"/>
      <w:szCs w:val="18"/>
    </w:rPr>
  </w:style>
  <w:style w:type="character" w:styleId="930">
    <w:name w:val="批注框文本 Char"/>
    <w:next w:val="930"/>
    <w:link w:val="929"/>
    <w:semiHidden/>
    <w:rPr>
      <w:rFonts w:ascii="Times New Roman" w:hAnsi="Times New Roman" w:eastAsia="宋体" w:cs="Times New Roman"/>
      <w:sz w:val="18"/>
      <w:szCs w:val="18"/>
    </w:rPr>
  </w:style>
  <w:style w:type="paragraph" w:styleId="931">
    <w:name w:val="页脚"/>
    <w:basedOn w:val="881"/>
    <w:next w:val="931"/>
    <w:link w:val="932"/>
    <w:pPr>
      <w:jc w:val="left"/>
      <w:tabs>
        <w:tab w:val="center" w:pos="4153" w:leader="none"/>
        <w:tab w:val="right" w:pos="8306" w:leader="none"/>
      </w:tabs>
    </w:pPr>
    <w:rPr>
      <w:sz w:val="18"/>
      <w:szCs w:val="18"/>
    </w:rPr>
  </w:style>
  <w:style w:type="character" w:styleId="932">
    <w:name w:val="页脚 Char"/>
    <w:next w:val="932"/>
    <w:link w:val="931"/>
    <w:rPr>
      <w:rFonts w:ascii="Times New Roman" w:hAnsi="Times New Roman" w:eastAsia="宋体" w:cs="Times New Roman"/>
      <w:sz w:val="18"/>
      <w:szCs w:val="18"/>
    </w:rPr>
  </w:style>
  <w:style w:type="paragraph" w:styleId="933">
    <w:name w:val="页眉"/>
    <w:basedOn w:val="881"/>
    <w:next w:val="933"/>
    <w:link w:val="934"/>
    <w:pPr>
      <w:jc w:val="center"/>
      <w:tabs>
        <w:tab w:val="center" w:pos="4153" w:leader="none"/>
        <w:tab w:val="right" w:pos="8306" w:leader="none"/>
      </w:tabs>
      <w:pBdr>
        <w:bottom w:val="single" w:color="000000" w:sz="6" w:space="1"/>
      </w:pBdr>
    </w:pPr>
    <w:rPr>
      <w:sz w:val="18"/>
      <w:szCs w:val="18"/>
    </w:rPr>
  </w:style>
  <w:style w:type="character" w:styleId="934">
    <w:name w:val="页眉 Char"/>
    <w:next w:val="934"/>
    <w:link w:val="933"/>
    <w:rPr>
      <w:rFonts w:ascii="Times New Roman" w:hAnsi="Times New Roman" w:eastAsia="宋体" w:cs="Times New Roman"/>
      <w:sz w:val="18"/>
      <w:szCs w:val="18"/>
    </w:rPr>
  </w:style>
  <w:style w:type="paragraph" w:styleId="935">
    <w:name w:val="目录 1"/>
    <w:basedOn w:val="881"/>
    <w:next w:val="881"/>
    <w:link w:val="88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6">
    <w:name w:val="目录 4"/>
    <w:basedOn w:val="881"/>
    <w:next w:val="881"/>
    <w:link w:val="881"/>
    <w:semiHidden/>
    <w:pPr>
      <w:ind w:left="630"/>
      <w:jc w:val="left"/>
    </w:pPr>
    <w:rPr>
      <w:rFonts w:ascii="Times New Roman" w:hAnsi="Times New Roman" w:eastAsia="宋体" w:cs="Times New Roman"/>
      <w:szCs w:val="21"/>
    </w:rPr>
  </w:style>
  <w:style w:type="paragraph" w:styleId="937">
    <w:name w:val="列表"/>
    <w:basedOn w:val="881"/>
    <w:next w:val="937"/>
    <w:link w:val="881"/>
    <w:pPr>
      <w:ind w:left="200" w:hanging="200"/>
    </w:pPr>
    <w:rPr>
      <w:rFonts w:ascii="Times New Roman" w:hAnsi="Times New Roman" w:eastAsia="宋体" w:cs="Times New Roman"/>
      <w:szCs w:val="21"/>
    </w:rPr>
  </w:style>
  <w:style w:type="paragraph" w:styleId="938">
    <w:name w:val="目录 6"/>
    <w:basedOn w:val="881"/>
    <w:next w:val="881"/>
    <w:link w:val="881"/>
    <w:semiHidden/>
    <w:pPr>
      <w:ind w:left="1050"/>
      <w:jc w:val="left"/>
    </w:pPr>
    <w:rPr>
      <w:rFonts w:ascii="Times New Roman" w:hAnsi="Times New Roman" w:eastAsia="宋体" w:cs="Times New Roman"/>
      <w:szCs w:val="21"/>
    </w:rPr>
  </w:style>
  <w:style w:type="paragraph" w:styleId="939">
    <w:name w:val="正文文本缩进 3"/>
    <w:basedOn w:val="881"/>
    <w:next w:val="939"/>
    <w:link w:val="940"/>
    <w:pPr>
      <w:ind w:left="645" w:firstLine="645"/>
    </w:pPr>
    <w:rPr>
      <w:rFonts w:ascii="Arial" w:hAnsi="Arial" w:eastAsia="仿宋_GB2312"/>
      <w:color w:val="ffff00"/>
      <w:sz w:val="32"/>
      <w:szCs w:val="32"/>
    </w:rPr>
  </w:style>
  <w:style w:type="character" w:styleId="940">
    <w:name w:val="正文文本缩进 3 Char"/>
    <w:next w:val="940"/>
    <w:link w:val="939"/>
    <w:rPr>
      <w:rFonts w:ascii="Arial" w:hAnsi="Arial" w:eastAsia="仿宋_GB2312" w:cs="Arial"/>
      <w:color w:val="ffff00"/>
      <w:sz w:val="32"/>
      <w:szCs w:val="32"/>
    </w:rPr>
  </w:style>
  <w:style w:type="paragraph" w:styleId="941">
    <w:name w:val="图表目录"/>
    <w:basedOn w:val="881"/>
    <w:next w:val="881"/>
    <w:link w:val="881"/>
    <w:semiHidden/>
    <w:pPr>
      <w:ind w:left="840" w:hanging="420"/>
    </w:pPr>
    <w:rPr>
      <w:rFonts w:ascii="Times New Roman" w:hAnsi="Times New Roman" w:eastAsia="宋体" w:cs="Times New Roman"/>
      <w:szCs w:val="21"/>
    </w:rPr>
  </w:style>
  <w:style w:type="paragraph" w:styleId="942">
    <w:name w:val="目录 2"/>
    <w:basedOn w:val="881"/>
    <w:next w:val="881"/>
    <w:link w:val="881"/>
    <w:semiHidden/>
    <w:pPr>
      <w:ind w:left="210"/>
      <w:jc w:val="left"/>
    </w:pPr>
    <w:rPr>
      <w:rFonts w:ascii="Times New Roman" w:hAnsi="Times New Roman" w:eastAsia="宋体" w:cs="Times New Roman"/>
      <w:smallCaps/>
      <w:szCs w:val="24"/>
    </w:rPr>
  </w:style>
  <w:style w:type="paragraph" w:styleId="943">
    <w:name w:val="目录 9"/>
    <w:basedOn w:val="881"/>
    <w:next w:val="881"/>
    <w:link w:val="881"/>
    <w:semiHidden/>
    <w:pPr>
      <w:ind w:left="1680"/>
      <w:jc w:val="left"/>
    </w:pPr>
    <w:rPr>
      <w:rFonts w:ascii="Times New Roman" w:hAnsi="Times New Roman" w:eastAsia="宋体" w:cs="Times New Roman"/>
      <w:szCs w:val="21"/>
    </w:rPr>
  </w:style>
  <w:style w:type="paragraph" w:styleId="944">
    <w:name w:val="正文文本 2"/>
    <w:basedOn w:val="881"/>
    <w:next w:val="944"/>
    <w:link w:val="945"/>
    <w:pPr>
      <w:jc w:val="center"/>
      <w:widowControl/>
    </w:pPr>
    <w:rPr>
      <w:rFonts w:ascii="楷体_GB2312" w:eastAsia="楷体_GB2312"/>
      <w:sz w:val="28"/>
      <w:szCs w:val="28"/>
    </w:rPr>
  </w:style>
  <w:style w:type="character" w:styleId="945">
    <w:name w:val="正文文本 2 Char"/>
    <w:next w:val="945"/>
    <w:link w:val="944"/>
    <w:rPr>
      <w:rFonts w:ascii="楷体_GB2312" w:hAnsi="Times New Roman" w:eastAsia="楷体_GB2312" w:cs="Times New Roman"/>
      <w:sz w:val="28"/>
      <w:szCs w:val="28"/>
    </w:rPr>
  </w:style>
  <w:style w:type="paragraph" w:styleId="946">
    <w:name w:val="普通(网站)"/>
    <w:basedOn w:val="881"/>
    <w:next w:val="946"/>
    <w:link w:val="881"/>
    <w:uiPriority w:val="99"/>
    <w:pPr>
      <w:jc w:val="left"/>
      <w:spacing w:before="100" w:beforeAutospacing="1" w:after="100" w:afterAutospacing="1"/>
      <w:widowControl/>
    </w:pPr>
    <w:rPr>
      <w:rFonts w:ascii="宋体" w:hAnsi="宋体" w:eastAsia="宋体" w:cs="宋体"/>
      <w:sz w:val="24"/>
      <w:szCs w:val="24"/>
    </w:rPr>
  </w:style>
  <w:style w:type="paragraph" w:styleId="947">
    <w:name w:val="索引 1"/>
    <w:basedOn w:val="881"/>
    <w:next w:val="881"/>
    <w:link w:val="881"/>
    <w:semiHidden/>
    <w:pPr>
      <w:spacing w:line="240" w:lineRule="atLeast"/>
    </w:pPr>
    <w:rPr>
      <w:rFonts w:ascii="Times New Roman" w:hAnsi="Times New Roman" w:eastAsia="宋体" w:cs="Times New Roman"/>
      <w:b/>
      <w:bCs/>
      <w:szCs w:val="21"/>
    </w:rPr>
  </w:style>
  <w:style w:type="paragraph" w:styleId="948">
    <w:name w:val="批注主题"/>
    <w:basedOn w:val="913"/>
    <w:next w:val="913"/>
    <w:link w:val="949"/>
    <w:semiHidden/>
    <w:rPr>
      <w:rFonts w:ascii="Times New Roman" w:hAnsi="Times New Roman"/>
      <w:b/>
      <w:bCs/>
      <w:sz w:val="20"/>
      <w:szCs w:val="21"/>
    </w:rPr>
  </w:style>
  <w:style w:type="character" w:styleId="949">
    <w:name w:val="批注主题 Char"/>
    <w:next w:val="949"/>
    <w:link w:val="948"/>
    <w:semiHidden/>
    <w:rPr>
      <w:rFonts w:ascii="Times New Roman" w:hAnsi="Times New Roman" w:eastAsia="宋体" w:cs="Times New Roman"/>
      <w:b/>
      <w:bCs/>
      <w:szCs w:val="21"/>
    </w:rPr>
  </w:style>
  <w:style w:type="paragraph" w:styleId="950">
    <w:name w:val="正文首行缩进"/>
    <w:basedOn w:val="881"/>
    <w:next w:val="950"/>
    <w:link w:val="951"/>
    <w:pPr>
      <w:ind w:firstLine="200"/>
      <w:spacing w:line="360" w:lineRule="auto"/>
    </w:pPr>
    <w:rPr>
      <w:rFonts w:ascii="仿宋_GB2312" w:eastAsia="仿宋_GB2312"/>
      <w:sz w:val="30"/>
      <w:szCs w:val="30"/>
    </w:rPr>
  </w:style>
  <w:style w:type="character" w:styleId="951">
    <w:name w:val="正文首行缩进 Char"/>
    <w:next w:val="951"/>
    <w:link w:val="950"/>
    <w:rPr>
      <w:rFonts w:ascii="仿宋_GB2312" w:hAnsi="Times New Roman" w:eastAsia="仿宋_GB2312" w:cs="Times New Roman"/>
      <w:sz w:val="30"/>
      <w:szCs w:val="30"/>
    </w:rPr>
  </w:style>
  <w:style w:type="table" w:styleId="952">
    <w:name w:val="网格型"/>
    <w:basedOn w:val="892"/>
    <w:next w:val="952"/>
    <w:link w:val="881"/>
    <w:pPr>
      <w:jc w:val="both"/>
      <w:widowControl w:val="off"/>
    </w:pPr>
    <w:rPr>
      <w:rFonts w:ascii="Times New Roman" w:hAnsi="Times New Roman" w:eastAsia="宋体" w:cs="Times New Roman"/>
      <w:sz w:val="20"/>
      <w:szCs w:val="20"/>
    </w:rPr>
    <w:tblPr/>
  </w:style>
  <w:style w:type="character" w:styleId="953">
    <w:name w:val="要点"/>
    <w:next w:val="953"/>
    <w:link w:val="881"/>
    <w:qFormat/>
    <w:rPr>
      <w:b/>
      <w:bCs/>
    </w:rPr>
  </w:style>
  <w:style w:type="character" w:styleId="954">
    <w:name w:val="页码"/>
    <w:next w:val="954"/>
    <w:link w:val="881"/>
  </w:style>
  <w:style w:type="character" w:styleId="955">
    <w:name w:val="已访问的超链接"/>
    <w:next w:val="955"/>
    <w:link w:val="881"/>
    <w:rPr>
      <w:color w:val="800080"/>
      <w:u w:val="single"/>
    </w:rPr>
  </w:style>
  <w:style w:type="character" w:styleId="956">
    <w:name w:val="超链接"/>
    <w:next w:val="956"/>
    <w:link w:val="881"/>
    <w:rPr>
      <w:color w:val="0000ff"/>
      <w:u w:val="single"/>
    </w:rPr>
  </w:style>
  <w:style w:type="character" w:styleId="957">
    <w:name w:val="批注引用"/>
    <w:next w:val="957"/>
    <w:link w:val="881"/>
    <w:semiHidden/>
    <w:rPr>
      <w:sz w:val="21"/>
      <w:szCs w:val="21"/>
    </w:rPr>
  </w:style>
  <w:style w:type="character" w:styleId="958">
    <w:name w:val="批注文字 字符"/>
    <w:basedOn w:val="891"/>
    <w:next w:val="958"/>
    <w:link w:val="913"/>
    <w:rPr>
      <w:rFonts w:ascii="Calibri" w:hAnsi="Calibri" w:eastAsia="宋体" w:cs="Times New Roman"/>
      <w:sz w:val="21"/>
      <w:szCs w:val="24"/>
    </w:rPr>
  </w:style>
  <w:style w:type="paragraph" w:styleId="959">
    <w:name w:val="索引 41"/>
    <w:basedOn w:val="881"/>
    <w:next w:val="881"/>
    <w:link w:val="881"/>
    <w:semiHidden/>
    <w:qFormat/>
    <w:pPr>
      <w:ind w:left="1260"/>
    </w:pPr>
    <w:rPr>
      <w:rFonts w:ascii="Calibri" w:hAnsi="Calibri" w:eastAsia="Calibri" w:cs="宋体"/>
      <w:sz w:val="20"/>
      <w:lang w:val="zh-CN"/>
    </w:rPr>
  </w:style>
  <w:style w:type="character" w:styleId="960">
    <w:name w:val="font5 Char"/>
    <w:next w:val="960"/>
    <w:link w:val="881"/>
    <w:rPr>
      <w:rFonts w:ascii="宋体" w:hAnsi="宋体" w:eastAsia="宋体"/>
      <w:sz w:val="28"/>
      <w:szCs w:val="28"/>
      <w:lang w:val="en-US" w:eastAsia="zh-CN" w:bidi="ar-SA"/>
    </w:rPr>
  </w:style>
  <w:style w:type="character" w:styleId="961">
    <w:name w:val="二级目录 Char"/>
    <w:next w:val="961"/>
    <w:link w:val="962"/>
    <w:rPr>
      <w:b/>
      <w:sz w:val="30"/>
      <w:szCs w:val="28"/>
      <w:lang w:val="en-US" w:eastAsia="zh-CN" w:bidi="ar-SA"/>
    </w:rPr>
  </w:style>
  <w:style w:type="paragraph" w:styleId="962">
    <w:name w:val="二级目录"/>
    <w:next w:val="881"/>
    <w:link w:val="961"/>
    <w:pPr>
      <w:numPr>
        <w:ilvl w:val="0"/>
        <w:numId w:val="2"/>
      </w:numPr>
      <w:tabs>
        <w:tab w:val="left" w:pos="907" w:leader="none"/>
        <w:tab w:val="left" w:pos="1145" w:leader="none"/>
      </w:tabs>
      <w:outlineLvl w:val="1"/>
    </w:pPr>
    <w:rPr>
      <w:b/>
      <w:sz w:val="30"/>
      <w:szCs w:val="28"/>
      <w:lang w:val="en-US" w:eastAsia="zh-CN" w:bidi="ar-SA"/>
    </w:rPr>
  </w:style>
  <w:style w:type="character" w:styleId="963">
    <w:name w:val="列出段落 Char,Bullet List Char,numbered Char,FooterText Char,List Paragraph1 Char,Paragraphe de liste1 Char"/>
    <w:next w:val="963"/>
    <w:link w:val="964"/>
    <w:rPr>
      <w:rFonts w:ascii="Calibri" w:hAnsi="Calibri"/>
      <w:sz w:val="24"/>
      <w:szCs w:val="24"/>
      <w:lang w:eastAsia="en-US" w:bidi="en-US"/>
    </w:rPr>
  </w:style>
  <w:style w:type="paragraph" w:styleId="964">
    <w:name w:val="列出段落1"/>
    <w:basedOn w:val="881"/>
    <w:next w:val="964"/>
    <w:link w:val="963"/>
    <w:qFormat/>
    <w:pPr>
      <w:contextualSpacing/>
      <w:ind w:left="720"/>
      <w:jc w:val="left"/>
      <w:widowControl/>
    </w:pPr>
    <w:rPr>
      <w:rFonts w:ascii="Calibri" w:hAnsi="Calibri"/>
      <w:sz w:val="24"/>
      <w:szCs w:val="24"/>
      <w:lang w:eastAsia="en-US" w:bidi="en-US"/>
    </w:rPr>
  </w:style>
  <w:style w:type="paragraph" w:styleId="965">
    <w:name w:val="Body Text(ch)"/>
    <w:basedOn w:val="881"/>
    <w:next w:val="917"/>
    <w:link w:val="881"/>
    <w:pPr>
      <w:spacing w:after="120"/>
    </w:pPr>
    <w:rPr>
      <w:rFonts w:ascii="宋体" w:hAnsi="Arial" w:eastAsia="宋体" w:cs="Times New Roman"/>
      <w:bCs/>
      <w:iCs/>
      <w:szCs w:val="24"/>
    </w:rPr>
  </w:style>
  <w:style w:type="paragraph" w:styleId="966">
    <w:name w:val="xl27"/>
    <w:basedOn w:val="881"/>
    <w:next w:val="966"/>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name w:val="xl26"/>
    <w:basedOn w:val="881"/>
    <w:next w:val="967"/>
    <w:link w:val="8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8">
    <w:name w:val="Char"/>
    <w:basedOn w:val="881"/>
    <w:next w:val="968"/>
    <w:link w:val="881"/>
    <w:pPr>
      <w:ind w:firstLine="200"/>
      <w:tabs>
        <w:tab w:val="left" w:pos="360" w:leader="none"/>
      </w:tabs>
    </w:pPr>
    <w:rPr>
      <w:rFonts w:ascii="Times New Roman" w:hAnsi="Times New Roman" w:eastAsia="宋体" w:cs="Times New Roman"/>
      <w:sz w:val="28"/>
      <w:szCs w:val="30"/>
    </w:rPr>
  </w:style>
  <w:style w:type="paragraph" w:styleId="969">
    <w:name w:val=" Char"/>
    <w:basedOn w:val="911"/>
    <w:next w:val="969"/>
    <w:link w:val="881"/>
    <w:rPr>
      <w:rFonts w:ascii="Tahoma" w:hAnsi="Tahoma"/>
      <w:sz w:val="24"/>
      <w:szCs w:val="24"/>
    </w:rPr>
  </w:style>
  <w:style w:type="paragraph" w:styleId="970">
    <w:name w:val="普通正文"/>
    <w:basedOn w:val="881"/>
    <w:next w:val="970"/>
    <w:link w:val="881"/>
    <w:pPr>
      <w:ind w:firstLine="480"/>
      <w:jc w:val="left"/>
      <w:spacing w:before="120" w:after="120" w:line="360" w:lineRule="auto"/>
    </w:pPr>
    <w:rPr>
      <w:rFonts w:ascii="Arial" w:hAnsi="Arial" w:eastAsia="宋体" w:cs="Times New Roman"/>
      <w:sz w:val="24"/>
      <w:szCs w:val="24"/>
    </w:rPr>
  </w:style>
  <w:style w:type="paragraph" w:styleId="971">
    <w:name w:val="table_lines"/>
    <w:basedOn w:val="881"/>
    <w:next w:val="971"/>
    <w:link w:val="881"/>
    <w:pPr>
      <w:jc w:val="left"/>
      <w:widowControl/>
    </w:pPr>
    <w:rPr>
      <w:rFonts w:ascii="Times New Roman" w:hAnsi="Times New Roman" w:eastAsia="宋体" w:cs="Times New Roman"/>
      <w:sz w:val="20"/>
      <w:szCs w:val="20"/>
      <w:lang w:val="de-DE" w:eastAsia="de-DE"/>
    </w:rPr>
  </w:style>
  <w:style w:type="paragraph" w:styleId="972">
    <w:name w:val="附录1"/>
    <w:next w:val="972"/>
    <w:link w:val="881"/>
    <w:pPr>
      <w:numPr>
        <w:ilvl w:val="0"/>
        <w:numId w:val="2"/>
      </w:numPr>
      <w:spacing w:before="240" w:line="600" w:lineRule="atLeast"/>
      <w:tabs>
        <w:tab w:val="left" w:pos="907" w:leader="none"/>
      </w:tabs>
    </w:pPr>
    <w:rPr>
      <w:b/>
      <w:i/>
      <w:sz w:val="28"/>
      <w:lang w:val="en-US" w:eastAsia="zh-CN" w:bidi="ar-SA"/>
    </w:rPr>
  </w:style>
  <w:style w:type="paragraph" w:styleId="973">
    <w:name w:val="font7"/>
    <w:basedOn w:val="881"/>
    <w:next w:val="973"/>
    <w:link w:val="881"/>
    <w:pPr>
      <w:jc w:val="left"/>
      <w:spacing w:before="100" w:beforeAutospacing="1" w:after="100" w:afterAutospacing="1"/>
      <w:widowControl/>
    </w:pPr>
    <w:rPr>
      <w:rFonts w:hint="eastAsia" w:ascii="宋体" w:hAnsi="宋体" w:eastAsia="宋体" w:cs="Times New Roman"/>
      <w:sz w:val="18"/>
      <w:szCs w:val="18"/>
    </w:rPr>
  </w:style>
  <w:style w:type="paragraph" w:styleId="974">
    <w:name w:val=" Char Char Char Char"/>
    <w:basedOn w:val="911"/>
    <w:next w:val="974"/>
    <w:link w:val="881"/>
    <w:pPr>
      <w:spacing w:line="360" w:lineRule="auto"/>
    </w:pPr>
    <w:rPr>
      <w:rFonts w:ascii="Tahoma" w:hAnsi="Tahoma"/>
      <w:sz w:val="24"/>
      <w:szCs w:val="24"/>
    </w:rPr>
  </w:style>
  <w:style w:type="paragraph" w:styleId="975">
    <w:name w:val="列出段落"/>
    <w:basedOn w:val="881"/>
    <w:next w:val="975"/>
    <w:link w:val="881"/>
    <w:qFormat/>
    <w:pPr>
      <w:contextualSpacing/>
      <w:ind w:left="720"/>
      <w:jc w:val="left"/>
      <w:widowControl/>
    </w:pPr>
    <w:rPr>
      <w:rFonts w:ascii="Calibri" w:hAnsi="Calibri" w:eastAsia="宋体" w:cs="Times New Roman"/>
      <w:sz w:val="24"/>
      <w:szCs w:val="24"/>
      <w:lang w:eastAsia="en-US" w:bidi="en-US"/>
    </w:rPr>
  </w:style>
  <w:style w:type="paragraph" w:styleId="976">
    <w:name w:val="4"/>
    <w:basedOn w:val="881"/>
    <w:next w:val="939"/>
    <w:link w:val="881"/>
    <w:pPr>
      <w:ind w:firstLine="420"/>
      <w:spacing w:line="360" w:lineRule="auto"/>
    </w:pPr>
    <w:rPr>
      <w:rFonts w:ascii="Times New Roman" w:hAnsi="Times New Roman" w:eastAsia="宋体" w:cs="Times New Roman"/>
      <w:color w:val="ff0000"/>
      <w:sz w:val="24"/>
      <w:szCs w:val="24"/>
    </w:rPr>
  </w:style>
  <w:style w:type="paragraph" w:styleId="977">
    <w:name w:val="普通 (Web)"/>
    <w:basedOn w:val="881"/>
    <w:next w:val="977"/>
    <w:link w:val="881"/>
    <w:pPr>
      <w:jc w:val="left"/>
      <w:spacing w:before="100" w:beforeAutospacing="1" w:after="100" w:afterAutospacing="1"/>
      <w:widowControl/>
    </w:pPr>
    <w:rPr>
      <w:rFonts w:ascii="宋体" w:hAnsi="宋体" w:eastAsia="宋体" w:cs="Times New Roman"/>
      <w:sz w:val="24"/>
      <w:szCs w:val="24"/>
    </w:rPr>
  </w:style>
  <w:style w:type="paragraph" w:styleId="978">
    <w:name w:val=" Char Char Char Char Char Char Char Char Char Char"/>
    <w:basedOn w:val="881"/>
    <w:next w:val="978"/>
    <w:link w:val="881"/>
    <w:pPr>
      <w:spacing w:line="360" w:lineRule="auto"/>
    </w:pPr>
    <w:rPr>
      <w:rFonts w:ascii="Times New Roman" w:hAnsi="Times New Roman" w:eastAsia="宋体" w:cs="Times New Roman"/>
      <w:sz w:val="24"/>
      <w:szCs w:val="20"/>
    </w:rPr>
  </w:style>
  <w:style w:type="paragraph" w:styleId="979">
    <w:name w:val="样式1"/>
    <w:basedOn w:val="881"/>
    <w:next w:val="979"/>
    <w:link w:val="881"/>
    <w:pPr>
      <w:numPr>
        <w:ilvl w:val="0"/>
        <w:numId w:val="3"/>
      </w:numPr>
      <w:tabs>
        <w:tab w:val="left" w:pos="709" w:leader="none"/>
      </w:tabs>
    </w:pPr>
    <w:rPr>
      <w:rFonts w:ascii="宋体" w:hAnsi="宋体" w:eastAsia="宋体" w:cs="Times New Roman"/>
      <w:szCs w:val="21"/>
    </w:rPr>
  </w:style>
  <w:style w:type="paragraph" w:styleId="980">
    <w:name w:val="font6"/>
    <w:basedOn w:val="881"/>
    <w:next w:val="980"/>
    <w:link w:val="881"/>
    <w:pPr>
      <w:jc w:val="left"/>
      <w:spacing w:before="100" w:beforeAutospacing="1" w:after="100" w:afterAutospacing="1"/>
      <w:widowControl/>
    </w:pPr>
    <w:rPr>
      <w:rFonts w:hint="eastAsia" w:ascii="宋体" w:hAnsi="宋体" w:eastAsia="宋体" w:cs="Times New Roman"/>
      <w:sz w:val="28"/>
      <w:szCs w:val="28"/>
      <w:u w:val="single"/>
    </w:rPr>
  </w:style>
  <w:style w:type="paragraph" w:styleId="981">
    <w:name w:val="xl25"/>
    <w:basedOn w:val="881"/>
    <w:next w:val="981"/>
    <w:link w:val="88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name w:val="图标"/>
    <w:basedOn w:val="881"/>
    <w:next w:val="881"/>
    <w:link w:val="88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3">
    <w:name w:val="标题3"/>
    <w:basedOn w:val="881"/>
    <w:next w:val="881"/>
    <w:link w:val="881"/>
    <w:pPr>
      <w:ind w:firstLine="624"/>
      <w:spacing w:line="590" w:lineRule="atLeast"/>
    </w:pPr>
    <w:rPr>
      <w:rFonts w:ascii="方正黑体_GBK" w:hAnsi="Times New Roman" w:eastAsia="方正黑体_GBK" w:cs="Times New Roman"/>
      <w:sz w:val="32"/>
      <w:szCs w:val="32"/>
    </w:rPr>
  </w:style>
  <w:style w:type="paragraph" w:styleId="984">
    <w:name w:val="xl24"/>
    <w:basedOn w:val="881"/>
    <w:next w:val="984"/>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5">
    <w:name w:val="xl29"/>
    <w:basedOn w:val="881"/>
    <w:next w:val="985"/>
    <w:link w:val="88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6">
    <w:name w:val="Char Char Char Char Char Char Char Char"/>
    <w:basedOn w:val="881"/>
    <w:next w:val="986"/>
    <w:link w:val="881"/>
    <w:pPr>
      <w:jc w:val="left"/>
      <w:spacing w:after="160" w:line="240" w:lineRule="exact"/>
      <w:widowControl/>
    </w:pPr>
    <w:rPr>
      <w:rFonts w:ascii="Verdana" w:hAnsi="Verdana" w:eastAsia="宋体" w:cs="Times New Roman"/>
      <w:sz w:val="20"/>
      <w:szCs w:val="20"/>
      <w:lang w:eastAsia="en-US"/>
    </w:rPr>
  </w:style>
  <w:style w:type="paragraph" w:styleId="987">
    <w:name w:val="xl28"/>
    <w:basedOn w:val="881"/>
    <w:next w:val="987"/>
    <w:link w:val="8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8">
    <w:name w:val=" Char Char Char Char Char Char Char Char"/>
    <w:basedOn w:val="881"/>
    <w:next w:val="988"/>
    <w:link w:val="881"/>
    <w:pPr>
      <w:jc w:val="left"/>
      <w:spacing w:after="160" w:line="240" w:lineRule="exact"/>
      <w:widowControl/>
    </w:pPr>
    <w:rPr>
      <w:rFonts w:ascii="Verdana" w:hAnsi="Verdana" w:eastAsia="宋体" w:cs="Times New Roman"/>
      <w:sz w:val="20"/>
      <w:szCs w:val="20"/>
      <w:lang w:eastAsia="en-US"/>
    </w:rPr>
  </w:style>
  <w:style w:type="paragraph" w:styleId="989">
    <w:name w:val="xl30"/>
    <w:basedOn w:val="881"/>
    <w:next w:val="989"/>
    <w:link w:val="881"/>
    <w:pPr>
      <w:jc w:val="center"/>
      <w:spacing w:before="100" w:beforeAutospacing="1" w:after="100" w:afterAutospacing="1"/>
      <w:widowControl/>
    </w:pPr>
    <w:rPr>
      <w:rFonts w:ascii="宋体" w:hAnsi="宋体" w:eastAsia="宋体" w:cs="Times New Roman"/>
      <w:b/>
      <w:bCs/>
      <w:sz w:val="36"/>
      <w:szCs w:val="36"/>
    </w:rPr>
  </w:style>
  <w:style w:type="paragraph" w:styleId="990">
    <w:name w:val="Char Char Char Char"/>
    <w:basedOn w:val="911"/>
    <w:next w:val="990"/>
    <w:link w:val="881"/>
    <w:pPr>
      <w:spacing w:line="360" w:lineRule="auto"/>
    </w:pPr>
    <w:rPr>
      <w:rFonts w:ascii="Tahoma" w:hAnsi="Tahoma"/>
      <w:sz w:val="24"/>
      <w:szCs w:val="24"/>
    </w:rPr>
  </w:style>
  <w:style w:type="paragraph" w:styleId="991">
    <w:name w:val="table_1stline"/>
    <w:basedOn w:val="881"/>
    <w:next w:val="991"/>
    <w:link w:val="881"/>
    <w:pPr>
      <w:jc w:val="left"/>
      <w:spacing w:before="120"/>
      <w:widowControl/>
    </w:pPr>
    <w:rPr>
      <w:rFonts w:ascii="Times New Roman" w:hAnsi="Times New Roman" w:eastAsia="宋体" w:cs="Times New Roman"/>
      <w:bCs/>
      <w:sz w:val="20"/>
      <w:szCs w:val="20"/>
      <w:lang w:val="de-DE" w:eastAsia="de-DE"/>
    </w:rPr>
  </w:style>
  <w:style w:type="paragraph" w:styleId="992">
    <w:name w:val="font5"/>
    <w:basedOn w:val="881"/>
    <w:next w:val="992"/>
    <w:link w:val="881"/>
    <w:pPr>
      <w:jc w:val="left"/>
      <w:spacing w:before="100" w:beforeAutospacing="1" w:after="100" w:afterAutospacing="1"/>
      <w:widowControl/>
    </w:pPr>
    <w:rPr>
      <w:rFonts w:hint="eastAsia" w:ascii="宋体" w:hAnsi="宋体" w:eastAsia="宋体" w:cs="Times New Roman"/>
      <w:sz w:val="28"/>
      <w:szCs w:val="28"/>
    </w:rPr>
  </w:style>
  <w:style w:type="paragraph" w:styleId="993">
    <w:name w:val="标题1"/>
    <w:basedOn w:val="881"/>
    <w:next w:val="881"/>
    <w:link w:val="88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4">
    <w:name w:val="修订"/>
    <w:next w:val="994"/>
    <w:link w:val="881"/>
    <w:uiPriority w:val="99"/>
    <w:semiHidden/>
    <w:rPr>
      <w:sz w:val="21"/>
      <w:szCs w:val="21"/>
      <w:lang w:val="en-US" w:eastAsia="zh-CN" w:bidi="ar-SA"/>
    </w:rPr>
  </w:style>
  <w:style w:type="paragraph" w:styleId="995">
    <w:name w:val="无间隔"/>
    <w:next w:val="995"/>
    <w:link w:val="881"/>
    <w:uiPriority w:val="99"/>
    <w:qFormat/>
    <w:pPr>
      <w:jc w:val="both"/>
      <w:widowControl w:val="off"/>
    </w:pPr>
    <w:rPr>
      <w:sz w:val="21"/>
      <w:szCs w:val="21"/>
      <w:lang w:val="en-US" w:eastAsia="zh-CN" w:bidi="ar-SA"/>
    </w:rPr>
  </w:style>
  <w:style w:type="table" w:styleId="996">
    <w:name w:val="Table Normal"/>
    <w:next w:val="996"/>
    <w:link w:val="881"/>
    <w:qFormat/>
    <w:rPr>
      <w:lang w:val="en-US" w:eastAsia="zh-CN" w:bidi="ar-SA"/>
    </w:rPr>
    <w:tblPr/>
  </w:style>
  <w:style w:type="paragraph" w:styleId="997">
    <w:name w:val="正文文本12"/>
    <w:basedOn w:val="881"/>
    <w:next w:val="997"/>
    <w:link w:val="881"/>
    <w:uiPriority w:val="1"/>
    <w:qFormat/>
    <w:pPr>
      <w:ind w:left="120"/>
    </w:pPr>
    <w:rPr>
      <w:rFonts w:ascii="宋体" w:hAnsi="宋体" w:eastAsia="宋体" w:cs="宋体"/>
      <w:sz w:val="21"/>
      <w:szCs w:val="21"/>
      <w:lang w:val="zh-CN" w:eastAsia="zh-CN" w:bidi="zh-CN"/>
    </w:rPr>
  </w:style>
  <w:style w:type="paragraph" w:styleId="998">
    <w:name w:val="正文文本 211"/>
    <w:basedOn w:val="881"/>
    <w:next w:val="998"/>
    <w:link w:val="881"/>
    <w:uiPriority w:val="99"/>
    <w:qFormat/>
    <w:pPr>
      <w:jc w:val="center"/>
    </w:pPr>
    <w:rPr>
      <w:b/>
      <w:bCs/>
      <w:sz w:val="20"/>
      <w:szCs w:val="20"/>
    </w:rPr>
  </w:style>
  <w:style w:type="paragraph" w:styleId="999">
    <w:name w:val="正文文本1"/>
    <w:basedOn w:val="881"/>
    <w:next w:val="881"/>
    <w:link w:val="881"/>
    <w:semiHidden/>
    <w:qFormat/>
    <w:rPr>
      <w:rFonts w:ascii="Arial" w:hAnsi="Arial" w:eastAsia="Arial" w:cs="Arial"/>
      <w:sz w:val="21"/>
      <w:szCs w:val="21"/>
      <w:lang w:val="en-US" w:eastAsia="en-US" w:bidi="ar-SA"/>
    </w:rPr>
  </w:style>
  <w:style w:type="paragraph" w:styleId="1000">
    <w:name w:val="Table Paragraph"/>
    <w:basedOn w:val="881"/>
    <w:next w:val="1000"/>
    <w:link w:val="881"/>
    <w:uiPriority w:val="1"/>
    <w:qFormat/>
    <w:pPr>
      <w:jc w:val="left"/>
    </w:pPr>
    <w:rPr>
      <w:rFonts w:ascii="宋体" w:hAnsi="宋体" w:eastAsia="宋体" w:cs="宋体"/>
      <w:sz w:val="22"/>
      <w:szCs w:val="22"/>
      <w:lang w:val="zh-CN" w:bidi="zh-CN"/>
    </w:rPr>
  </w:style>
  <w:style w:type="table" w:styleId="1001">
    <w:name w:val="网格型1"/>
    <w:basedOn w:val="1002"/>
    <w:next w:val="1001"/>
    <w:link w:val="881"/>
    <w:qFormat/>
    <w:pPr>
      <w:jc w:val="both"/>
      <w:widowControl w:val="off"/>
    </w:pPr>
    <w:tblPr/>
  </w:style>
  <w:style w:type="table" w:styleId="1002">
    <w:name w:val="普通表格1"/>
    <w:next w:val="1002"/>
    <w:link w:val="881"/>
    <w:uiPriority w:val="99"/>
    <w:unhideWhenUsed/>
    <w:qFormat/>
    <w:rPr>
      <w:lang w:val="en-US" w:eastAsia="zh-CN" w:bidi="ar-SA"/>
    </w:rPr>
    <w:tblPr/>
  </w:style>
  <w:style w:type="paragraph" w:styleId="1003">
    <w:name w:val="正文文本缩进1"/>
    <w:basedOn w:val="881"/>
    <w:next w:val="1004"/>
    <w:link w:val="881"/>
    <w:unhideWhenUsed/>
    <w:qFormat/>
    <w:pPr>
      <w:ind w:left="420"/>
      <w:spacing w:after="120"/>
    </w:pPr>
  </w:style>
  <w:style w:type="paragraph" w:styleId="1004">
    <w:name w:val="正文文本首行缩进 2"/>
    <w:basedOn w:val="1003"/>
    <w:next w:val="1004"/>
    <w:link w:val="881"/>
    <w:qFormat/>
    <w:pPr>
      <w:ind w:left="0" w:firstLine="420"/>
      <w:spacing w:after="0" w:line="360" w:lineRule="auto"/>
    </w:pPr>
    <w:rPr>
      <w:rFonts w:ascii="宋体" w:hAnsi="宋体"/>
      <w:sz w:val="20"/>
      <w:szCs w:val="20"/>
      <w:lang w:val="en-US" w:eastAsia="en-US"/>
    </w:rPr>
  </w:style>
  <w:style w:type="table" w:styleId="1005">
    <w:name w:val="Table Normal_0"/>
    <w:next w:val="1005"/>
    <w:link w:val="881"/>
    <w:qFormat/>
    <w:rPr>
      <w:lang w:val="en-US" w:eastAsia="zh-CN" w:bidi="ar-SA"/>
    </w:rPr>
    <w:tblPr/>
  </w:style>
  <w:style w:type="character" w:styleId="1006">
    <w:name w:val="font21"/>
    <w:basedOn w:val="891"/>
    <w:next w:val="1006"/>
    <w:link w:val="881"/>
    <w:qFormat/>
    <w:rPr>
      <w:rFonts w:hint="eastAsia" w:ascii="宋体" w:hAnsi="宋体" w:eastAsia="宋体" w:cs="宋体"/>
      <w:b/>
      <w:bCs/>
      <w:color w:val="000000"/>
      <w:sz w:val="20"/>
      <w:szCs w:val="20"/>
      <w:u w:val="none"/>
    </w:rPr>
  </w:style>
  <w:style w:type="character" w:styleId="1007">
    <w:name w:val="font41"/>
    <w:basedOn w:val="891"/>
    <w:next w:val="1007"/>
    <w:link w:val="881"/>
    <w:qFormat/>
    <w:rPr>
      <w:rFonts w:hint="eastAsia" w:ascii="宋体" w:hAnsi="宋体" w:eastAsia="宋体" w:cs="宋体"/>
      <w:color w:val="000000"/>
      <w:sz w:val="20"/>
      <w:szCs w:val="20"/>
      <w:u w:val="none"/>
    </w:rPr>
  </w:style>
  <w:style w:type="character" w:styleId="1008">
    <w:name w:val="font31"/>
    <w:basedOn w:val="891"/>
    <w:next w:val="1008"/>
    <w:link w:val="881"/>
    <w:qFormat/>
    <w:rPr>
      <w:rFonts w:hint="eastAsia" w:ascii="宋体" w:hAnsi="宋体" w:eastAsia="宋体" w:cs="宋体"/>
      <w:b/>
      <w:bCs/>
      <w:color w:val="000000"/>
      <w:sz w:val="20"/>
      <w:szCs w:val="20"/>
      <w:u w:val="none"/>
    </w:rPr>
  </w:style>
  <w:style w:type="character" w:styleId="1009">
    <w:name w:val="font81"/>
    <w:basedOn w:val="891"/>
    <w:next w:val="1009"/>
    <w:link w:val="881"/>
    <w:qFormat/>
    <w:rPr>
      <w:rFonts w:hint="eastAsia" w:ascii="宋体" w:hAnsi="宋体" w:eastAsia="宋体" w:cs="宋体"/>
      <w:color w:val="000000"/>
      <w:sz w:val="20"/>
      <w:szCs w:val="20"/>
      <w:u w:val="none"/>
    </w:rPr>
  </w:style>
  <w:style w:type="character" w:styleId="1010">
    <w:name w:val="font111"/>
    <w:basedOn w:val="891"/>
    <w:next w:val="1010"/>
    <w:link w:val="881"/>
    <w:qFormat/>
    <w:rPr>
      <w:rFonts w:hint="eastAsia" w:ascii="宋体" w:hAnsi="宋体" w:eastAsia="宋体" w:cs="宋体"/>
      <w:b/>
      <w:bCs/>
      <w:color w:val="000000"/>
      <w:sz w:val="20"/>
      <w:szCs w:val="20"/>
      <w:u w:val="none"/>
    </w:rPr>
  </w:style>
  <w:style w:type="paragraph" w:styleId="1011">
    <w:name w:val="纯文本1"/>
    <w:basedOn w:val="881"/>
    <w:next w:val="1011"/>
    <w:link w:val="881"/>
    <w:qFormat/>
    <w:rPr>
      <w:rFonts w:ascii="宋体" w:hAnsi="Courier New" w:eastAsia="宋体" w:cs="Courier New"/>
      <w:szCs w:val="21"/>
    </w:rPr>
  </w:style>
  <w:style w:type="character" w:styleId="1012" w:default="1">
    <w:name w:val="Default Paragraph Font"/>
    <w:uiPriority w:val="1"/>
    <w:semiHidden/>
    <w:unhideWhenUsed/>
  </w:style>
  <w:style w:type="numbering" w:styleId="1013" w:default="1">
    <w:name w:val="No List"/>
    <w:uiPriority w:val="99"/>
    <w:semiHidden/>
    <w:unhideWhenUsed/>
  </w:style>
  <w:style w:type="table" w:styleId="10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6</cp:revision>
  <dcterms:created xsi:type="dcterms:W3CDTF">2023-03-16T02:13:00Z</dcterms:created>
  <dcterms:modified xsi:type="dcterms:W3CDTF">2025-11-27T06:25:10Z</dcterms:modified>
</cp:coreProperties>
</file>